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496CF" w14:textId="7DECC9E7" w:rsidR="00A62BC2" w:rsidRPr="00883EF2" w:rsidRDefault="00C82E86" w:rsidP="00A62BC2">
      <w:pPr>
        <w:pStyle w:val="StandardWWWW"/>
        <w:tabs>
          <w:tab w:val="left" w:pos="1650"/>
        </w:tabs>
        <w:suppressAutoHyphens w:val="0"/>
        <w:kinsoku w:val="0"/>
        <w:overflowPunct w:val="0"/>
        <w:autoSpaceDE w:val="0"/>
        <w:adjustRightInd w:val="0"/>
        <w:spacing w:before="0" w:line="460" w:lineRule="exact"/>
        <w:contextualSpacing w:val="0"/>
        <w:jc w:val="center"/>
        <w:rPr>
          <w:rFonts w:ascii="標楷體" w:hAnsi="標楷體"/>
          <w:color w:val="000000" w:themeColor="text1"/>
          <w:sz w:val="40"/>
          <w:szCs w:val="40"/>
        </w:rPr>
      </w:pPr>
      <w:r w:rsidRPr="00883EF2">
        <w:rPr>
          <w:rFonts w:ascii="標楷體" w:hAnsi="標楷體" w:hint="eastAsia"/>
          <w:color w:val="000000" w:themeColor="text1"/>
          <w:sz w:val="40"/>
          <w:szCs w:val="40"/>
        </w:rPr>
        <w:t>公益揭弊者保護法施行細則</w:t>
      </w:r>
    </w:p>
    <w:p w14:paraId="45AA491B" w14:textId="77777777" w:rsidR="00A67177" w:rsidRPr="00883EF2" w:rsidRDefault="00A67177" w:rsidP="00A62BC2">
      <w:pPr>
        <w:overflowPunct w:val="0"/>
        <w:adjustRightInd w:val="0"/>
        <w:snapToGrid w:val="0"/>
        <w:jc w:val="both"/>
        <w:rPr>
          <w:rFonts w:ascii="標楷體" w:eastAsia="標楷體" w:hAnsi="標楷體"/>
          <w:color w:val="000000" w:themeColor="text1"/>
          <w:sz w:val="32"/>
          <w:szCs w:val="32"/>
        </w:rPr>
      </w:pPr>
    </w:p>
    <w:p w14:paraId="30C37CB5" w14:textId="2AB7DE98" w:rsidR="00A62BC2" w:rsidRPr="00883EF2" w:rsidRDefault="00820428" w:rsidP="00820428">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第一條　　</w:t>
      </w:r>
      <w:r w:rsidR="001C657A" w:rsidRPr="00883EF2">
        <w:rPr>
          <w:rFonts w:ascii="標楷體" w:eastAsia="標楷體" w:hAnsi="標楷體" w:hint="eastAsia"/>
          <w:color w:val="000000" w:themeColor="text1"/>
          <w:sz w:val="32"/>
          <w:szCs w:val="32"/>
        </w:rPr>
        <w:t>本細則依公益揭弊者保護法（以下簡稱本法）第二十條規定訂定之</w:t>
      </w:r>
      <w:r w:rsidR="00A62BC2" w:rsidRPr="00883EF2">
        <w:rPr>
          <w:rFonts w:ascii="標楷體" w:eastAsia="標楷體" w:hAnsi="標楷體" w:hint="eastAsia"/>
          <w:color w:val="000000" w:themeColor="text1"/>
          <w:sz w:val="32"/>
          <w:szCs w:val="32"/>
        </w:rPr>
        <w:t>。</w:t>
      </w:r>
    </w:p>
    <w:p w14:paraId="39801E50" w14:textId="66412C2B" w:rsidR="001C657A" w:rsidRPr="00883EF2" w:rsidRDefault="001C657A" w:rsidP="001C657A">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第二條　　本法第三條第一項第五款及第七款第二目至第十目所列弊案，以刑事犯罪、得處以罰鍰之違規行為或應付懲戒之行為為限。</w:t>
      </w:r>
    </w:p>
    <w:p w14:paraId="3790ED96" w14:textId="7CCE3762" w:rsidR="001C657A" w:rsidRPr="00883EF2" w:rsidRDefault="001C657A" w:rsidP="001C657A">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第三條　　本法第三條第一項第七款第五目所定違反其他有關經濟、財政法規之行為，指依菸酒管理法第四十五條第一項、第二項、第四十六條第一項、第四十七條</w:t>
      </w:r>
      <w:r w:rsidR="00F864F3" w:rsidRPr="00603891">
        <w:rPr>
          <w:rFonts w:ascii="標楷體" w:eastAsia="標楷體" w:hAnsi="標楷體" w:hint="eastAsia"/>
          <w:sz w:val="32"/>
          <w:szCs w:val="32"/>
        </w:rPr>
        <w:t>、</w:t>
      </w:r>
      <w:r w:rsidRPr="00883EF2">
        <w:rPr>
          <w:rFonts w:ascii="標楷體" w:eastAsia="標楷體" w:hAnsi="標楷體" w:hint="eastAsia"/>
          <w:color w:val="000000" w:themeColor="text1"/>
          <w:sz w:val="32"/>
          <w:szCs w:val="32"/>
        </w:rPr>
        <w:t>第四十八條</w:t>
      </w:r>
      <w:r w:rsidR="00F864F3" w:rsidRPr="00B1073C">
        <w:rPr>
          <w:rFonts w:ascii="標楷體" w:eastAsia="標楷體" w:hAnsi="標楷體" w:hint="eastAsia"/>
          <w:color w:val="000000" w:themeColor="text1"/>
          <w:sz w:val="32"/>
          <w:szCs w:val="32"/>
        </w:rPr>
        <w:t>第一項、</w:t>
      </w:r>
      <w:r w:rsidRPr="00883EF2">
        <w:rPr>
          <w:rFonts w:ascii="標楷體" w:eastAsia="標楷體" w:hAnsi="標楷體" w:hint="eastAsia"/>
          <w:color w:val="000000" w:themeColor="text1"/>
          <w:sz w:val="32"/>
          <w:szCs w:val="32"/>
        </w:rPr>
        <w:t>第二項、第四十九條、稅捐稽徵法第四十三條第一項、第二項及中央銀行法第三十八條第二項規定應予處罰之行為。</w:t>
      </w:r>
    </w:p>
    <w:p w14:paraId="4DF77679" w14:textId="2F5503D0"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本法第三條第一項第七款第八目所定違反其他有關勞動法規之行為，指依中高齡者及高齡者就業促進法第四十一條第一項及大量解僱勞工保護法第十七條至第十九條規定應予處罰之行為。</w:t>
      </w:r>
    </w:p>
    <w:p w14:paraId="1EA9E7EB" w14:textId="56CB5387" w:rsidR="001C657A" w:rsidRPr="00883EF2" w:rsidRDefault="001C657A" w:rsidP="001C657A">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第四條　　本法第四條第一項第一款及第二款所稱受理揭弊機關，指被揭弊者所屬政府機關（構）、國營事業、受政府控制之事業、團體或機構（以下</w:t>
      </w:r>
      <w:r w:rsidR="00F864F3" w:rsidRPr="00B1073C">
        <w:rPr>
          <w:rFonts w:ascii="標楷體" w:eastAsia="標楷體" w:hAnsi="標楷體" w:hint="eastAsia"/>
          <w:color w:val="000000" w:themeColor="text1"/>
          <w:sz w:val="32"/>
          <w:szCs w:val="32"/>
        </w:rPr>
        <w:t>合</w:t>
      </w:r>
      <w:r w:rsidRPr="00883EF2">
        <w:rPr>
          <w:rFonts w:ascii="標楷體" w:eastAsia="標楷體" w:hAnsi="標楷體" w:hint="eastAsia"/>
          <w:color w:val="000000" w:themeColor="text1"/>
          <w:sz w:val="32"/>
          <w:szCs w:val="32"/>
        </w:rPr>
        <w:t>稱泛公部門）之主管、首長、負責人或其指定單位、人員；所</w:t>
      </w:r>
      <w:r w:rsidR="00F864F3" w:rsidRPr="00B1073C">
        <w:rPr>
          <w:rFonts w:ascii="標楷體" w:eastAsia="標楷體" w:hAnsi="標楷體" w:hint="eastAsia"/>
          <w:color w:val="000000" w:themeColor="text1"/>
          <w:sz w:val="32"/>
          <w:szCs w:val="32"/>
        </w:rPr>
        <w:t>定</w:t>
      </w:r>
      <w:r w:rsidRPr="00883EF2">
        <w:rPr>
          <w:rFonts w:ascii="標楷體" w:eastAsia="標楷體" w:hAnsi="標楷體" w:hint="eastAsia"/>
          <w:color w:val="000000" w:themeColor="text1"/>
          <w:sz w:val="32"/>
          <w:szCs w:val="32"/>
        </w:rPr>
        <w:t>主管，由泛公部門依事務權責分工認定之。</w:t>
      </w:r>
    </w:p>
    <w:p w14:paraId="7732E308" w14:textId="54F68668"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本法第四條第一項第七款所稱政風機構，指政風機構人員設置管理條例第三條第一項規定之中央與地方機關</w:t>
      </w:r>
      <w:r w:rsidRPr="00883EF2">
        <w:rPr>
          <w:rFonts w:ascii="標楷體" w:eastAsia="標楷體" w:hAnsi="標楷體"/>
          <w:color w:val="000000" w:themeColor="text1"/>
          <w:sz w:val="32"/>
          <w:szCs w:val="32"/>
        </w:rPr>
        <w:t>(</w:t>
      </w:r>
      <w:r w:rsidRPr="00883EF2">
        <w:rPr>
          <w:rFonts w:ascii="標楷體" w:eastAsia="標楷體" w:hAnsi="標楷體" w:hint="eastAsia"/>
          <w:color w:val="000000" w:themeColor="text1"/>
          <w:sz w:val="32"/>
          <w:szCs w:val="32"/>
        </w:rPr>
        <w:t>構</w:t>
      </w:r>
      <w:r w:rsidRPr="00883EF2">
        <w:rPr>
          <w:rFonts w:ascii="標楷體" w:eastAsia="標楷體" w:hAnsi="標楷體"/>
          <w:color w:val="000000" w:themeColor="text1"/>
          <w:sz w:val="32"/>
          <w:szCs w:val="32"/>
        </w:rPr>
        <w:t>)</w:t>
      </w:r>
      <w:r w:rsidRPr="00883EF2">
        <w:rPr>
          <w:rFonts w:ascii="標楷體" w:eastAsia="標楷體" w:hAnsi="標楷體" w:hint="eastAsia"/>
          <w:color w:val="000000" w:themeColor="text1"/>
          <w:sz w:val="32"/>
          <w:szCs w:val="32"/>
        </w:rPr>
        <w:t>及公營事業機構掌理政風業務之機構。</w:t>
      </w:r>
    </w:p>
    <w:p w14:paraId="5CACCE66" w14:textId="30B26647"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本法第四條第四項所稱權責機關，</w:t>
      </w:r>
      <w:r w:rsidR="00F56FC1" w:rsidRPr="00B1073C">
        <w:rPr>
          <w:rFonts w:ascii="標楷體" w:eastAsia="標楷體" w:hAnsi="標楷體" w:hint="eastAsia"/>
          <w:color w:val="000000" w:themeColor="text1"/>
          <w:sz w:val="32"/>
          <w:szCs w:val="32"/>
        </w:rPr>
        <w:t>指</w:t>
      </w:r>
      <w:r w:rsidRPr="00883EF2">
        <w:rPr>
          <w:rFonts w:ascii="標楷體" w:eastAsia="標楷體" w:hAnsi="標楷體" w:hint="eastAsia"/>
          <w:color w:val="000000" w:themeColor="text1"/>
          <w:sz w:val="32"/>
          <w:szCs w:val="32"/>
        </w:rPr>
        <w:t>就本法第三條</w:t>
      </w:r>
      <w:r w:rsidR="00F864F3" w:rsidRPr="00B1073C">
        <w:rPr>
          <w:rFonts w:ascii="標楷體" w:eastAsia="標楷體" w:hAnsi="標楷體" w:hint="eastAsia"/>
          <w:color w:val="000000" w:themeColor="text1"/>
          <w:sz w:val="32"/>
          <w:szCs w:val="32"/>
        </w:rPr>
        <w:t>第一項</w:t>
      </w:r>
      <w:r w:rsidRPr="00883EF2">
        <w:rPr>
          <w:rFonts w:ascii="標楷體" w:eastAsia="標楷體" w:hAnsi="標楷體" w:hint="eastAsia"/>
          <w:color w:val="000000" w:themeColor="text1"/>
          <w:sz w:val="32"/>
          <w:szCs w:val="32"/>
        </w:rPr>
        <w:t>所列弊案具調查及處理</w:t>
      </w:r>
      <w:r w:rsidR="00F864F3" w:rsidRPr="00B1073C">
        <w:rPr>
          <w:rFonts w:ascii="標楷體" w:eastAsia="標楷體" w:hAnsi="標楷體" w:hint="eastAsia"/>
          <w:color w:val="000000" w:themeColor="text1"/>
          <w:sz w:val="32"/>
          <w:szCs w:val="32"/>
        </w:rPr>
        <w:t>權限</w:t>
      </w:r>
      <w:r w:rsidRPr="00883EF2">
        <w:rPr>
          <w:rFonts w:ascii="標楷體" w:eastAsia="標楷體" w:hAnsi="標楷體" w:hint="eastAsia"/>
          <w:color w:val="000000" w:themeColor="text1"/>
          <w:sz w:val="32"/>
          <w:szCs w:val="32"/>
        </w:rPr>
        <w:t>之主管機關或權責單位。</w:t>
      </w:r>
    </w:p>
    <w:p w14:paraId="5F54C744" w14:textId="2FD86D0C" w:rsidR="001C657A" w:rsidRPr="00883EF2" w:rsidRDefault="001C657A" w:rsidP="001C657A">
      <w:pPr>
        <w:overflowPunct w:val="0"/>
        <w:adjustRightInd w:val="0"/>
        <w:snapToGrid w:val="0"/>
        <w:ind w:leftChars="413" w:left="991" w:firstLineChars="221" w:firstLine="707"/>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受理揭弊機關依本法第四條第四項就非其主管事項之弊案移送各權責機關且通知揭弊者時，受移送之權責機關得免依本法第六條第一項再為受理通知，惟仍應依同條第二項於</w:t>
      </w:r>
      <w:r w:rsidRPr="00B1073C">
        <w:rPr>
          <w:rFonts w:ascii="標楷體" w:eastAsia="標楷體" w:hAnsi="標楷體" w:hint="eastAsia"/>
          <w:color w:val="000000" w:themeColor="text1"/>
          <w:sz w:val="32"/>
          <w:szCs w:val="32"/>
        </w:rPr>
        <w:t>受</w:t>
      </w:r>
      <w:r w:rsidRPr="00883EF2">
        <w:rPr>
          <w:rFonts w:ascii="標楷體" w:eastAsia="標楷體" w:hAnsi="標楷體" w:hint="eastAsia"/>
          <w:color w:val="000000" w:themeColor="text1"/>
          <w:sz w:val="32"/>
          <w:szCs w:val="32"/>
        </w:rPr>
        <w:t>移</w:t>
      </w:r>
      <w:r w:rsidR="00F864F3" w:rsidRPr="00B1073C">
        <w:rPr>
          <w:rFonts w:ascii="標楷體" w:eastAsia="標楷體" w:hAnsi="標楷體" w:hint="eastAsia"/>
          <w:color w:val="000000" w:themeColor="text1"/>
          <w:sz w:val="32"/>
          <w:szCs w:val="32"/>
        </w:rPr>
        <w:t>送</w:t>
      </w:r>
      <w:r w:rsidRPr="00883EF2">
        <w:rPr>
          <w:rFonts w:ascii="標楷體" w:eastAsia="標楷體" w:hAnsi="標楷體" w:hint="eastAsia"/>
          <w:color w:val="000000" w:themeColor="text1"/>
          <w:sz w:val="32"/>
          <w:szCs w:val="32"/>
        </w:rPr>
        <w:t>後六個月內為調查結果之通知。</w:t>
      </w:r>
    </w:p>
    <w:p w14:paraId="526D6A5F" w14:textId="1E871C4D" w:rsidR="001C657A" w:rsidRPr="00883EF2" w:rsidRDefault="001C657A" w:rsidP="001C657A">
      <w:pPr>
        <w:overflowPunct w:val="0"/>
        <w:adjustRightInd w:val="0"/>
        <w:snapToGrid w:val="0"/>
        <w:ind w:leftChars="413" w:left="991" w:firstLineChars="221" w:firstLine="707"/>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監察院為前項弊案之移</w:t>
      </w:r>
      <w:r w:rsidR="00F864F3" w:rsidRPr="00B1073C">
        <w:rPr>
          <w:rFonts w:ascii="標楷體" w:eastAsia="標楷體" w:hAnsi="標楷體" w:hint="eastAsia"/>
          <w:color w:val="000000" w:themeColor="text1"/>
          <w:sz w:val="32"/>
          <w:szCs w:val="32"/>
        </w:rPr>
        <w:t>送</w:t>
      </w:r>
      <w:r w:rsidRPr="00883EF2">
        <w:rPr>
          <w:rFonts w:ascii="標楷體" w:eastAsia="標楷體" w:hAnsi="標楷體" w:hint="eastAsia"/>
          <w:color w:val="000000" w:themeColor="text1"/>
          <w:sz w:val="32"/>
          <w:szCs w:val="32"/>
        </w:rPr>
        <w:t>，不妨礙其監察職權之行</w:t>
      </w:r>
      <w:r w:rsidRPr="00883EF2">
        <w:rPr>
          <w:rFonts w:ascii="標楷體" w:eastAsia="標楷體" w:hAnsi="標楷體" w:hint="eastAsia"/>
          <w:color w:val="000000" w:themeColor="text1"/>
          <w:sz w:val="32"/>
          <w:szCs w:val="32"/>
        </w:rPr>
        <w:lastRenderedPageBreak/>
        <w:t>使。</w:t>
      </w:r>
    </w:p>
    <w:p w14:paraId="2125736F" w14:textId="271FF96F" w:rsidR="001C657A" w:rsidRPr="00883EF2" w:rsidRDefault="001C657A" w:rsidP="001C657A">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第五條　　本法第五條第一項所稱</w:t>
      </w:r>
      <w:r w:rsidRPr="00B1073C">
        <w:rPr>
          <w:rFonts w:ascii="標楷體" w:eastAsia="標楷體" w:hAnsi="標楷體" w:hint="eastAsia"/>
          <w:color w:val="000000" w:themeColor="text1"/>
          <w:sz w:val="32"/>
          <w:szCs w:val="32"/>
        </w:rPr>
        <w:t>具名</w:t>
      </w:r>
      <w:r w:rsidRPr="00883EF2">
        <w:rPr>
          <w:rFonts w:ascii="標楷體" w:eastAsia="標楷體" w:hAnsi="標楷體" w:hint="eastAsia"/>
          <w:color w:val="000000" w:themeColor="text1"/>
          <w:sz w:val="32"/>
          <w:szCs w:val="32"/>
        </w:rPr>
        <w:t>，指揭弊者應具體陳明其真實姓名、聯絡方式、任職單位、職稱或其他符合同條項各款之身分資訊。</w:t>
      </w:r>
    </w:p>
    <w:p w14:paraId="34CA1E74" w14:textId="7DE3CF86"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本法第五條第一項</w:t>
      </w:r>
      <w:r w:rsidRPr="00883EF2">
        <w:rPr>
          <w:rFonts w:ascii="標楷體" w:eastAsia="標楷體" w:hAnsi="標楷體" w:hint="eastAsia"/>
          <w:color w:val="000000" w:themeColor="text1"/>
          <w:sz w:val="32"/>
          <w:szCs w:val="32"/>
        </w:rPr>
        <w:t>各</w:t>
      </w:r>
      <w:r w:rsidRPr="00883EF2">
        <w:rPr>
          <w:rFonts w:ascii="標楷體" w:eastAsia="標楷體" w:hAnsi="標楷體"/>
          <w:color w:val="000000" w:themeColor="text1"/>
          <w:sz w:val="32"/>
          <w:szCs w:val="32"/>
        </w:rPr>
        <w:t>款與泛公部門間具契約關係之相對人，不以</w:t>
      </w:r>
      <w:r w:rsidR="00F864F3" w:rsidRPr="00B1073C">
        <w:rPr>
          <w:rFonts w:ascii="標楷體" w:eastAsia="標楷體" w:hAnsi="標楷體" w:hint="eastAsia"/>
          <w:color w:val="000000" w:themeColor="text1"/>
          <w:sz w:val="32"/>
          <w:szCs w:val="32"/>
        </w:rPr>
        <w:t>具</w:t>
      </w:r>
      <w:r w:rsidRPr="00883EF2">
        <w:rPr>
          <w:rFonts w:ascii="標楷體" w:eastAsia="標楷體" w:hAnsi="標楷體"/>
          <w:color w:val="000000" w:themeColor="text1"/>
          <w:sz w:val="32"/>
          <w:szCs w:val="32"/>
        </w:rPr>
        <w:t>勞務契約</w:t>
      </w:r>
      <w:r w:rsidR="00F864F3" w:rsidRPr="00B1073C">
        <w:rPr>
          <w:rFonts w:ascii="標楷體" w:eastAsia="標楷體" w:hAnsi="標楷體" w:hint="eastAsia"/>
          <w:color w:val="000000" w:themeColor="text1"/>
          <w:sz w:val="32"/>
          <w:szCs w:val="32"/>
        </w:rPr>
        <w:t>者</w:t>
      </w:r>
      <w:r w:rsidRPr="00883EF2">
        <w:rPr>
          <w:rFonts w:ascii="標楷體" w:eastAsia="標楷體" w:hAnsi="標楷體"/>
          <w:color w:val="000000" w:themeColor="text1"/>
          <w:sz w:val="32"/>
          <w:szCs w:val="32"/>
        </w:rPr>
        <w:t>為限</w:t>
      </w:r>
      <w:r w:rsidRPr="00883EF2">
        <w:rPr>
          <w:rFonts w:ascii="標楷體" w:eastAsia="標楷體" w:hAnsi="標楷體" w:hint="eastAsia"/>
          <w:color w:val="000000" w:themeColor="text1"/>
          <w:sz w:val="32"/>
          <w:szCs w:val="32"/>
        </w:rPr>
        <w:t>。</w:t>
      </w:r>
    </w:p>
    <w:p w14:paraId="62154401" w14:textId="51F8C3F4"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前項相對人之員工，以</w:t>
      </w:r>
      <w:r w:rsidRPr="00883EF2">
        <w:rPr>
          <w:rFonts w:ascii="標楷體" w:eastAsia="標楷體" w:hAnsi="標楷體"/>
          <w:color w:val="000000" w:themeColor="text1"/>
          <w:sz w:val="32"/>
          <w:szCs w:val="32"/>
        </w:rPr>
        <w:t>受僱人</w:t>
      </w:r>
      <w:r w:rsidRPr="00883EF2">
        <w:rPr>
          <w:rFonts w:ascii="標楷體" w:eastAsia="標楷體" w:hAnsi="標楷體" w:hint="eastAsia"/>
          <w:color w:val="000000" w:themeColor="text1"/>
          <w:sz w:val="32"/>
          <w:szCs w:val="32"/>
        </w:rPr>
        <w:t>或</w:t>
      </w:r>
      <w:r w:rsidRPr="00883EF2">
        <w:rPr>
          <w:rFonts w:ascii="標楷體" w:eastAsia="標楷體" w:hAnsi="標楷體"/>
          <w:color w:val="000000" w:themeColor="text1"/>
          <w:sz w:val="32"/>
          <w:szCs w:val="32"/>
        </w:rPr>
        <w:t>其他基於從屬關係提供勞</w:t>
      </w:r>
      <w:r w:rsidR="00F864F3" w:rsidRPr="00B1073C">
        <w:rPr>
          <w:rFonts w:ascii="標楷體" w:eastAsia="標楷體" w:hAnsi="標楷體" w:hint="eastAsia"/>
          <w:color w:val="000000" w:themeColor="text1"/>
          <w:sz w:val="32"/>
          <w:szCs w:val="32"/>
        </w:rPr>
        <w:t>務</w:t>
      </w:r>
      <w:r w:rsidRPr="00883EF2">
        <w:rPr>
          <w:rFonts w:ascii="標楷體" w:eastAsia="標楷體" w:hAnsi="標楷體"/>
          <w:color w:val="000000" w:themeColor="text1"/>
          <w:sz w:val="32"/>
          <w:szCs w:val="32"/>
        </w:rPr>
        <w:t>而獲致報酬之人</w:t>
      </w:r>
      <w:r w:rsidRPr="00883EF2">
        <w:rPr>
          <w:rFonts w:ascii="標楷體" w:eastAsia="標楷體" w:hAnsi="標楷體" w:hint="eastAsia"/>
          <w:color w:val="000000" w:themeColor="text1"/>
          <w:sz w:val="32"/>
          <w:szCs w:val="32"/>
        </w:rPr>
        <w:t>為限，適用本法第五條第一項各款規定為泛公部門之揭弊者。</w:t>
      </w:r>
    </w:p>
    <w:p w14:paraId="64DEC6C8" w14:textId="4F824873"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前二項人員於第二項之相對人與泛公部門契約關係消滅後一年內，仍得依本法第五條第一項規定</w:t>
      </w:r>
      <w:r w:rsidRPr="00883EF2">
        <w:rPr>
          <w:rFonts w:ascii="標楷體" w:eastAsia="標楷體" w:hAnsi="標楷體"/>
          <w:color w:val="000000" w:themeColor="text1"/>
          <w:sz w:val="32"/>
          <w:szCs w:val="32"/>
        </w:rPr>
        <w:t>對於任職或提供</w:t>
      </w:r>
      <w:r w:rsidRPr="00B1073C">
        <w:rPr>
          <w:rFonts w:ascii="標楷體" w:eastAsia="標楷體" w:hAnsi="標楷體"/>
          <w:color w:val="000000" w:themeColor="text1"/>
          <w:sz w:val="32"/>
          <w:szCs w:val="32"/>
        </w:rPr>
        <w:t>勞務</w:t>
      </w:r>
      <w:r w:rsidRPr="00883EF2">
        <w:rPr>
          <w:rFonts w:ascii="標楷體" w:eastAsia="標楷體" w:hAnsi="標楷體"/>
          <w:color w:val="000000" w:themeColor="text1"/>
          <w:sz w:val="32"/>
          <w:szCs w:val="32"/>
        </w:rPr>
        <w:t>之泛公部門或其員工</w:t>
      </w:r>
      <w:r w:rsidRPr="00883EF2">
        <w:rPr>
          <w:rFonts w:ascii="標楷體" w:eastAsia="標楷體" w:hAnsi="標楷體" w:hint="eastAsia"/>
          <w:color w:val="000000" w:themeColor="text1"/>
          <w:sz w:val="32"/>
          <w:szCs w:val="32"/>
        </w:rPr>
        <w:t>、其他公務員</w:t>
      </w:r>
      <w:r w:rsidRPr="00883EF2">
        <w:rPr>
          <w:rFonts w:ascii="標楷體" w:eastAsia="標楷體" w:hAnsi="標楷體"/>
          <w:color w:val="000000" w:themeColor="text1"/>
          <w:sz w:val="32"/>
          <w:szCs w:val="32"/>
        </w:rPr>
        <w:t>涉有弊案者，提出檢舉</w:t>
      </w:r>
      <w:r w:rsidRPr="00883EF2">
        <w:rPr>
          <w:rFonts w:ascii="標楷體" w:eastAsia="標楷體" w:hAnsi="標楷體" w:hint="eastAsia"/>
          <w:color w:val="000000" w:themeColor="text1"/>
          <w:sz w:val="32"/>
          <w:szCs w:val="32"/>
        </w:rPr>
        <w:t>。</w:t>
      </w:r>
    </w:p>
    <w:p w14:paraId="517CE07D" w14:textId="7D2A47D8"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受理揭弊機關認</w:t>
      </w:r>
      <w:r w:rsidRPr="00883EF2">
        <w:rPr>
          <w:rFonts w:ascii="標楷體" w:eastAsia="標楷體" w:hAnsi="標楷體" w:hint="eastAsia"/>
          <w:color w:val="000000" w:themeColor="text1"/>
          <w:sz w:val="32"/>
          <w:szCs w:val="32"/>
        </w:rPr>
        <w:t>檢舉人不符本法第五條第一項具名要件或未提出合理相信涉有弊案之事實，而有補正之必要時，應定相當期間通知其補正</w:t>
      </w:r>
      <w:r w:rsidRPr="00883EF2">
        <w:rPr>
          <w:rFonts w:ascii="標楷體" w:eastAsia="標楷體" w:hAnsi="標楷體"/>
          <w:color w:val="000000" w:themeColor="text1"/>
          <w:sz w:val="32"/>
          <w:szCs w:val="32"/>
        </w:rPr>
        <w:t>；</w:t>
      </w:r>
      <w:r w:rsidRPr="00883EF2">
        <w:rPr>
          <w:rFonts w:ascii="標楷體" w:eastAsia="標楷體" w:hAnsi="標楷體" w:hint="eastAsia"/>
          <w:color w:val="000000" w:themeColor="text1"/>
          <w:sz w:val="32"/>
          <w:szCs w:val="32"/>
        </w:rPr>
        <w:t>屆期</w:t>
      </w:r>
      <w:r w:rsidRPr="00883EF2">
        <w:rPr>
          <w:rFonts w:ascii="標楷體" w:eastAsia="標楷體" w:hAnsi="標楷體"/>
          <w:color w:val="000000" w:themeColor="text1"/>
          <w:sz w:val="32"/>
          <w:szCs w:val="32"/>
        </w:rPr>
        <w:t>未補正者，</w:t>
      </w:r>
      <w:r w:rsidRPr="00883EF2">
        <w:rPr>
          <w:rFonts w:ascii="標楷體" w:eastAsia="標楷體" w:hAnsi="標楷體" w:hint="eastAsia"/>
          <w:color w:val="000000" w:themeColor="text1"/>
          <w:sz w:val="32"/>
          <w:szCs w:val="32"/>
        </w:rPr>
        <w:t>檢舉人不受本法保護。</w:t>
      </w:r>
    </w:p>
    <w:p w14:paraId="165CA610" w14:textId="066B6DC5"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第六條　　本法第五條第三項所稱公營事業，指國營事業以外，依公營事業移轉民營條例第三條規定之事業；所稱政府捐助之財團法人，指財團法人法第二條第二項及第三項規定之財團法人。</w:t>
      </w:r>
    </w:p>
    <w:p w14:paraId="0DC63F9B" w14:textId="2AC9362D"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第七條　　</w:t>
      </w:r>
      <w:r w:rsidRPr="00883EF2">
        <w:rPr>
          <w:rFonts w:ascii="標楷體" w:eastAsia="標楷體" w:hAnsi="標楷體"/>
          <w:color w:val="000000" w:themeColor="text1"/>
          <w:sz w:val="32"/>
          <w:szCs w:val="32"/>
        </w:rPr>
        <w:t>本法第六條第一項第三款所稱具法人登記之公益團體，指依法申請設立經許可，以公益為目的並向法院</w:t>
      </w:r>
      <w:r w:rsidRPr="00883EF2">
        <w:rPr>
          <w:rFonts w:ascii="標楷體" w:eastAsia="標楷體" w:hAnsi="標楷體" w:hint="eastAsia"/>
          <w:color w:val="000000" w:themeColor="text1"/>
          <w:sz w:val="32"/>
          <w:szCs w:val="32"/>
        </w:rPr>
        <w:t>辦理法人登記之社會團體及財團法人，且其章程所載宗旨或任務</w:t>
      </w:r>
      <w:r w:rsidRPr="00B1073C">
        <w:rPr>
          <w:rFonts w:ascii="標楷體" w:eastAsia="標楷體" w:hAnsi="標楷體" w:hint="eastAsia"/>
          <w:color w:val="000000" w:themeColor="text1"/>
          <w:sz w:val="32"/>
          <w:szCs w:val="32"/>
        </w:rPr>
        <w:t>與</w:t>
      </w:r>
      <w:r w:rsidRPr="00883EF2">
        <w:rPr>
          <w:rFonts w:ascii="標楷體" w:eastAsia="標楷體" w:hAnsi="標楷體" w:hint="eastAsia"/>
          <w:color w:val="000000" w:themeColor="text1"/>
          <w:sz w:val="32"/>
          <w:szCs w:val="32"/>
        </w:rPr>
        <w:t>提倡廉正相關</w:t>
      </w:r>
      <w:r w:rsidR="00F864F3" w:rsidRPr="00B1073C">
        <w:rPr>
          <w:rFonts w:ascii="標楷體" w:eastAsia="標楷體" w:hAnsi="標楷體" w:hint="eastAsia"/>
          <w:color w:val="000000" w:themeColor="text1"/>
          <w:sz w:val="32"/>
          <w:szCs w:val="32"/>
        </w:rPr>
        <w:t>者</w:t>
      </w:r>
      <w:r w:rsidRPr="00883EF2">
        <w:rPr>
          <w:rFonts w:ascii="標楷體" w:eastAsia="標楷體" w:hAnsi="標楷體" w:hint="eastAsia"/>
          <w:color w:val="000000" w:themeColor="text1"/>
          <w:sz w:val="32"/>
          <w:szCs w:val="32"/>
        </w:rPr>
        <w:t>。</w:t>
      </w:r>
    </w:p>
    <w:p w14:paraId="0982DCB4" w14:textId="7D797517" w:rsidR="005B2E3C" w:rsidRPr="00883EF2" w:rsidRDefault="005B2E3C"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受理揭弊機關依本法第六條第一項、第二項及第四項所為之通知，應留存相關文書或電磁紀錄。</w:t>
      </w:r>
    </w:p>
    <w:p w14:paraId="7EEFC39F" w14:textId="28BD9571" w:rsidR="005B2E3C" w:rsidRPr="00883EF2" w:rsidRDefault="005B2E3C"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受理揭弊機關就調查中案件得以進度通知為之，並於通知後六個月內補正調查結果之通知，未補正者，揭弊者得向本法第六條第一項人員或法人揭弊，仍受本法之保護。</w:t>
      </w:r>
    </w:p>
    <w:p w14:paraId="6FDE165E" w14:textId="0A2B2D23" w:rsidR="005B2E3C" w:rsidRPr="00883EF2" w:rsidRDefault="005B2E3C"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揭弊者依本法第六條第一項及第二項為促請辦理時，應具體陳明原揭弊內容、時間及促請辦理之意思。</w:t>
      </w:r>
    </w:p>
    <w:p w14:paraId="674CBA5D" w14:textId="77777777" w:rsidR="001C657A" w:rsidRPr="00883EF2" w:rsidRDefault="001C657A" w:rsidP="001C657A">
      <w:pPr>
        <w:overflowPunct w:val="0"/>
        <w:adjustRightInd w:val="0"/>
        <w:snapToGrid w:val="0"/>
        <w:jc w:val="both"/>
        <w:rPr>
          <w:rFonts w:ascii="標楷體" w:eastAsia="標楷體" w:hAnsi="標楷體"/>
          <w:color w:val="000000" w:themeColor="text1"/>
          <w:sz w:val="32"/>
          <w:szCs w:val="32"/>
        </w:rPr>
      </w:pPr>
    </w:p>
    <w:p w14:paraId="0D0971E2" w14:textId="6C3FCCE1" w:rsidR="005B2E3C" w:rsidRPr="00883EF2" w:rsidRDefault="005B2E3C"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揭弊者違反本法第六條第一項</w:t>
      </w:r>
      <w:r w:rsidR="00F864F3" w:rsidRPr="00B1073C">
        <w:rPr>
          <w:rFonts w:ascii="標楷體" w:eastAsia="標楷體" w:hAnsi="標楷體" w:hint="eastAsia"/>
          <w:color w:val="000000" w:themeColor="text1"/>
          <w:sz w:val="32"/>
          <w:szCs w:val="32"/>
        </w:rPr>
        <w:t>或</w:t>
      </w:r>
      <w:r w:rsidRPr="00883EF2">
        <w:rPr>
          <w:rFonts w:ascii="標楷體" w:eastAsia="標楷體" w:hAnsi="標楷體" w:hint="eastAsia"/>
          <w:color w:val="000000" w:themeColor="text1"/>
          <w:sz w:val="32"/>
          <w:szCs w:val="32"/>
        </w:rPr>
        <w:t>第二項期日規定，逕向該條第一項人員或法人再為揭弊者，自其再為揭弊時起，不受本法保護。但經該項人員或法人受理後於十日內轉由受理揭弊機關辦理，經受理揭弊機關調查後發現揭弊屬實者，</w:t>
      </w:r>
      <w:r w:rsidR="00F864F3" w:rsidRPr="00B1073C">
        <w:rPr>
          <w:rFonts w:ascii="標楷體" w:eastAsia="標楷體" w:hAnsi="標楷體" w:hint="eastAsia"/>
          <w:color w:val="000000" w:themeColor="text1"/>
          <w:sz w:val="32"/>
          <w:szCs w:val="32"/>
        </w:rPr>
        <w:t>仍受本法保護</w:t>
      </w:r>
      <w:r w:rsidRPr="00883EF2">
        <w:rPr>
          <w:rFonts w:ascii="標楷體" w:eastAsia="標楷體" w:hAnsi="標楷體" w:hint="eastAsia"/>
          <w:color w:val="000000" w:themeColor="text1"/>
          <w:sz w:val="32"/>
          <w:szCs w:val="32"/>
        </w:rPr>
        <w:t>。</w:t>
      </w:r>
    </w:p>
    <w:p w14:paraId="52E4C810" w14:textId="74EB1806"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第八條　　本法第六條第一項人員或法人依同條第三項移轉揭弊案件，應將揭弊內容及揭弊者資料以書面轉由受理揭弊機關辦理。</w:t>
      </w:r>
    </w:p>
    <w:p w14:paraId="2DDBDCB7" w14:textId="4CE5B6E9" w:rsidR="005B2E3C" w:rsidRPr="00883EF2" w:rsidRDefault="005B2E3C" w:rsidP="00A0749B">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本法第六條第三項所稱揭弊屬實，指該案經起訴、緩起訴、職權不起訴、聲請簡易判決處刑、裁定准予自訴、懲戒、懲處、懲罰、彈劾、糾正、糾舉或行政罰鍰者。</w:t>
      </w:r>
    </w:p>
    <w:p w14:paraId="2C20049B" w14:textId="23CA9283" w:rsidR="005B2E3C" w:rsidRPr="00883EF2" w:rsidRDefault="005B2E3C" w:rsidP="00A0749B">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本法第六條第一項人員或法人未依該條第三項或前條第五項但書期日規定移轉揭弊案件者，揭弊者不受</w:t>
      </w:r>
      <w:r w:rsidRPr="00B1073C">
        <w:rPr>
          <w:rFonts w:ascii="標楷體" w:eastAsia="標楷體" w:hAnsi="標楷體" w:hint="eastAsia"/>
          <w:color w:val="000000" w:themeColor="text1"/>
          <w:sz w:val="32"/>
          <w:szCs w:val="32"/>
        </w:rPr>
        <w:t>本法保護</w:t>
      </w:r>
      <w:r w:rsidRPr="00883EF2">
        <w:rPr>
          <w:rFonts w:ascii="標楷體" w:eastAsia="標楷體" w:hAnsi="標楷體" w:hint="eastAsia"/>
          <w:color w:val="000000" w:themeColor="text1"/>
          <w:sz w:val="32"/>
          <w:szCs w:val="32"/>
        </w:rPr>
        <w:t>。但揭弊者已促請該人員或法人於受理後十日內移轉而仍逾期移轉，經受理揭弊機關調查後發現揭弊屬實者，</w:t>
      </w:r>
      <w:r w:rsidR="00F864F3" w:rsidRPr="00B1073C">
        <w:rPr>
          <w:rFonts w:ascii="標楷體" w:eastAsia="標楷體" w:hAnsi="標楷體" w:hint="eastAsia"/>
          <w:color w:val="000000" w:themeColor="text1"/>
          <w:sz w:val="32"/>
          <w:szCs w:val="32"/>
        </w:rPr>
        <w:t>仍受本法保護</w:t>
      </w:r>
      <w:r w:rsidRPr="00883EF2">
        <w:rPr>
          <w:rFonts w:ascii="標楷體" w:eastAsia="標楷體" w:hAnsi="標楷體" w:hint="eastAsia"/>
          <w:color w:val="000000" w:themeColor="text1"/>
          <w:sz w:val="32"/>
          <w:szCs w:val="32"/>
        </w:rPr>
        <w:t>。</w:t>
      </w:r>
    </w:p>
    <w:p w14:paraId="205FCBBE" w14:textId="069EE7CA"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第九條　　</w:t>
      </w:r>
      <w:r w:rsidRPr="00883EF2">
        <w:rPr>
          <w:rFonts w:ascii="標楷體" w:eastAsia="標楷體" w:hAnsi="標楷體"/>
          <w:color w:val="000000" w:themeColor="text1"/>
          <w:sz w:val="32"/>
          <w:szCs w:val="32"/>
        </w:rPr>
        <w:t>受理揭弊機關為瞭解事實真相，應依職權辦理調查</w:t>
      </w:r>
      <w:r w:rsidRPr="00883EF2">
        <w:rPr>
          <w:rFonts w:ascii="標楷體" w:eastAsia="標楷體" w:hAnsi="標楷體" w:hint="eastAsia"/>
          <w:color w:val="000000" w:themeColor="text1"/>
          <w:sz w:val="32"/>
          <w:szCs w:val="32"/>
        </w:rPr>
        <w:t>。</w:t>
      </w:r>
    </w:p>
    <w:p w14:paraId="1617F325" w14:textId="39FCAC16" w:rsidR="005B2E3C" w:rsidRPr="00883EF2" w:rsidRDefault="005B2E3C" w:rsidP="000B17B0">
      <w:pPr>
        <w:overflowPunct w:val="0"/>
        <w:adjustRightInd w:val="0"/>
        <w:snapToGrid w:val="0"/>
        <w:ind w:leftChars="413" w:left="991" w:firstLineChars="180" w:firstLine="576"/>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為進行前項調查，除刑事犯罪依刑事訴訟法之規定外，得請求相關機關（構）、事業或個人提供必要之文書、資料或物品，並得以書面通知相關之人陳述意見</w:t>
      </w:r>
      <w:r w:rsidRPr="00883EF2">
        <w:rPr>
          <w:rFonts w:ascii="標楷體" w:eastAsia="標楷體" w:hAnsi="標楷體" w:hint="eastAsia"/>
          <w:color w:val="000000" w:themeColor="text1"/>
          <w:sz w:val="32"/>
          <w:szCs w:val="32"/>
        </w:rPr>
        <w:t>。</w:t>
      </w:r>
    </w:p>
    <w:p w14:paraId="4B4ADCDB" w14:textId="2D6361B1"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第十條　　</w:t>
      </w:r>
      <w:r w:rsidRPr="00883EF2">
        <w:rPr>
          <w:rFonts w:ascii="標楷體" w:eastAsia="標楷體" w:hAnsi="標楷體"/>
          <w:color w:val="000000" w:themeColor="text1"/>
          <w:sz w:val="32"/>
          <w:szCs w:val="32"/>
        </w:rPr>
        <w:t>受理揭弊機關</w:t>
      </w:r>
      <w:r w:rsidRPr="00883EF2">
        <w:rPr>
          <w:rFonts w:ascii="標楷體" w:eastAsia="標楷體" w:hAnsi="標楷體" w:hint="eastAsia"/>
          <w:color w:val="000000" w:themeColor="text1"/>
          <w:sz w:val="32"/>
          <w:szCs w:val="32"/>
        </w:rPr>
        <w:t>依</w:t>
      </w:r>
      <w:r w:rsidRPr="00883EF2">
        <w:rPr>
          <w:rFonts w:ascii="標楷體" w:eastAsia="標楷體" w:hAnsi="標楷體"/>
          <w:color w:val="000000" w:themeColor="text1"/>
          <w:sz w:val="32"/>
          <w:szCs w:val="32"/>
        </w:rPr>
        <w:t>本法第七條第二項向法院聲請扣押</w:t>
      </w:r>
      <w:r w:rsidR="00F864F3" w:rsidRPr="00603891">
        <w:rPr>
          <w:rFonts w:ascii="標楷體" w:eastAsia="標楷體" w:hAnsi="標楷體" w:hint="eastAsia"/>
          <w:sz w:val="32"/>
          <w:szCs w:val="32"/>
        </w:rPr>
        <w:t>，</w:t>
      </w:r>
      <w:r w:rsidRPr="00883EF2">
        <w:rPr>
          <w:rFonts w:ascii="標楷體" w:eastAsia="標楷體" w:hAnsi="標楷體" w:hint="eastAsia"/>
          <w:color w:val="000000" w:themeColor="text1"/>
          <w:sz w:val="32"/>
          <w:szCs w:val="32"/>
        </w:rPr>
        <w:t>應以下列名義為之：</w:t>
      </w:r>
    </w:p>
    <w:p w14:paraId="436F08E5" w14:textId="77777777" w:rsidR="00AA3EBD" w:rsidRDefault="005B2E3C" w:rsidP="006771C8">
      <w:pPr>
        <w:pStyle w:val="a7"/>
        <w:numPr>
          <w:ilvl w:val="0"/>
          <w:numId w:val="2"/>
        </w:numPr>
        <w:overflowPunct w:val="0"/>
        <w:adjustRightInd w:val="0"/>
        <w:snapToGrid w:val="0"/>
        <w:ind w:leftChars="0" w:left="2285" w:hanging="641"/>
        <w:jc w:val="both"/>
        <w:rPr>
          <w:rFonts w:ascii="標楷體" w:eastAsia="標楷體" w:hAnsi="標楷體"/>
          <w:color w:val="000000" w:themeColor="text1"/>
          <w:sz w:val="32"/>
          <w:szCs w:val="32"/>
        </w:rPr>
      </w:pPr>
      <w:r w:rsidRPr="00CF1EF4">
        <w:rPr>
          <w:rFonts w:ascii="標楷體" w:eastAsia="標楷體" w:hAnsi="標楷體"/>
          <w:color w:val="000000" w:themeColor="text1"/>
          <w:sz w:val="32"/>
          <w:szCs w:val="32"/>
        </w:rPr>
        <w:t>本法第四條第一項第一款至第三款、第五款</w:t>
      </w:r>
      <w:r w:rsidRPr="00CF1EF4">
        <w:rPr>
          <w:rFonts w:ascii="標楷體" w:eastAsia="標楷體" w:hAnsi="標楷體" w:hint="eastAsia"/>
          <w:color w:val="000000" w:themeColor="text1"/>
          <w:sz w:val="32"/>
          <w:szCs w:val="32"/>
        </w:rPr>
        <w:t>及第六款</w:t>
      </w:r>
      <w:r w:rsidRPr="00CF1EF4">
        <w:rPr>
          <w:rFonts w:ascii="標楷體" w:eastAsia="標楷體" w:hAnsi="標楷體"/>
          <w:color w:val="000000" w:themeColor="text1"/>
          <w:sz w:val="32"/>
          <w:szCs w:val="32"/>
        </w:rPr>
        <w:t>之受理揭弊機關</w:t>
      </w:r>
      <w:r w:rsidRPr="00CF1EF4">
        <w:rPr>
          <w:rFonts w:ascii="標楷體" w:eastAsia="標楷體" w:hAnsi="標楷體" w:hint="eastAsia"/>
          <w:color w:val="000000" w:themeColor="text1"/>
          <w:sz w:val="32"/>
          <w:szCs w:val="32"/>
        </w:rPr>
        <w:t>，</w:t>
      </w:r>
      <w:r w:rsidRPr="00CF1EF4">
        <w:rPr>
          <w:rFonts w:ascii="標楷體" w:eastAsia="標楷體" w:hAnsi="標楷體"/>
          <w:color w:val="000000" w:themeColor="text1"/>
          <w:sz w:val="32"/>
          <w:szCs w:val="32"/>
        </w:rPr>
        <w:t>以各機關（構)、事業或團體名義</w:t>
      </w:r>
      <w:r w:rsidRPr="00CF1EF4">
        <w:rPr>
          <w:rFonts w:ascii="標楷體" w:eastAsia="標楷體" w:hAnsi="標楷體" w:hint="eastAsia"/>
          <w:color w:val="000000" w:themeColor="text1"/>
          <w:sz w:val="32"/>
          <w:szCs w:val="32"/>
        </w:rPr>
        <w:t>。</w:t>
      </w:r>
    </w:p>
    <w:p w14:paraId="49747558" w14:textId="5963A490" w:rsidR="00AA3EBD" w:rsidRDefault="005B2E3C" w:rsidP="006771C8">
      <w:pPr>
        <w:pStyle w:val="a7"/>
        <w:numPr>
          <w:ilvl w:val="0"/>
          <w:numId w:val="2"/>
        </w:numPr>
        <w:overflowPunct w:val="0"/>
        <w:adjustRightInd w:val="0"/>
        <w:snapToGrid w:val="0"/>
        <w:ind w:leftChars="0" w:left="2285" w:hanging="641"/>
        <w:jc w:val="both"/>
        <w:rPr>
          <w:rFonts w:ascii="標楷體" w:eastAsia="標楷體" w:hAnsi="標楷體"/>
          <w:color w:val="000000" w:themeColor="text1"/>
          <w:sz w:val="32"/>
          <w:szCs w:val="32"/>
        </w:rPr>
      </w:pPr>
      <w:r w:rsidRPr="00AA3EBD">
        <w:rPr>
          <w:rFonts w:ascii="標楷體" w:eastAsia="標楷體" w:hAnsi="標楷體"/>
          <w:color w:val="000000" w:themeColor="text1"/>
          <w:sz w:val="32"/>
          <w:szCs w:val="32"/>
        </w:rPr>
        <w:t>司法警察機關</w:t>
      </w:r>
      <w:r w:rsidRPr="00AA3EBD">
        <w:rPr>
          <w:rFonts w:ascii="標楷體" w:eastAsia="標楷體" w:hAnsi="標楷體" w:hint="eastAsia"/>
          <w:color w:val="000000" w:themeColor="text1"/>
          <w:sz w:val="32"/>
          <w:szCs w:val="32"/>
        </w:rPr>
        <w:t>以</w:t>
      </w:r>
      <w:r w:rsidRPr="00AA3EBD">
        <w:rPr>
          <w:rFonts w:ascii="標楷體" w:eastAsia="標楷體" w:hAnsi="標楷體"/>
          <w:color w:val="000000" w:themeColor="text1"/>
          <w:sz w:val="32"/>
          <w:szCs w:val="32"/>
        </w:rPr>
        <w:t>內政部警政署與各直轄市、縣（市）警察局所屬分局或刑事警察大隊以上單位</w:t>
      </w:r>
      <w:r w:rsidRPr="00AA3EBD">
        <w:rPr>
          <w:rFonts w:ascii="標楷體" w:eastAsia="標楷體" w:hAnsi="標楷體" w:hint="eastAsia"/>
          <w:color w:val="000000" w:themeColor="text1"/>
          <w:sz w:val="32"/>
          <w:szCs w:val="32"/>
        </w:rPr>
        <w:t>、內政部移民署所屬各專勤隊等外勤單位</w:t>
      </w:r>
      <w:r w:rsidRPr="00AA3EBD">
        <w:rPr>
          <w:rFonts w:ascii="標楷體" w:eastAsia="標楷體" w:hAnsi="標楷體"/>
          <w:color w:val="000000" w:themeColor="text1"/>
          <w:sz w:val="32"/>
          <w:szCs w:val="32"/>
        </w:rPr>
        <w:t>、法務部調查局與所屬各外勤調查處（站）、工作站以上單位、法務部廉政署、國防部憲兵指揮部與所屬各地區憲兵隊以上單位、海洋委員會海巡署與所屬偵防查緝隊、各海巡隊、各查緝隊以上</w:t>
      </w:r>
      <w:r w:rsidRPr="00AA3EBD">
        <w:rPr>
          <w:rFonts w:ascii="標楷體" w:eastAsia="標楷體" w:hAnsi="標楷體"/>
          <w:color w:val="000000" w:themeColor="text1"/>
          <w:sz w:val="32"/>
          <w:szCs w:val="32"/>
        </w:rPr>
        <w:lastRenderedPageBreak/>
        <w:t>單位及其他同級以上之司法警察機關</w:t>
      </w:r>
      <w:r w:rsidRPr="00AA3EBD">
        <w:rPr>
          <w:rFonts w:ascii="標楷體" w:eastAsia="標楷體" w:hAnsi="標楷體" w:hint="eastAsia"/>
          <w:color w:val="000000" w:themeColor="text1"/>
          <w:sz w:val="32"/>
          <w:szCs w:val="32"/>
        </w:rPr>
        <w:t>名義。</w:t>
      </w:r>
    </w:p>
    <w:p w14:paraId="2EA171C1" w14:textId="3981F3D8" w:rsidR="005B2E3C" w:rsidRPr="00AA3EBD" w:rsidRDefault="005B2E3C" w:rsidP="006771C8">
      <w:pPr>
        <w:pStyle w:val="a7"/>
        <w:numPr>
          <w:ilvl w:val="0"/>
          <w:numId w:val="2"/>
        </w:numPr>
        <w:overflowPunct w:val="0"/>
        <w:adjustRightInd w:val="0"/>
        <w:snapToGrid w:val="0"/>
        <w:ind w:leftChars="0" w:left="2285" w:hanging="641"/>
        <w:jc w:val="both"/>
        <w:rPr>
          <w:rFonts w:ascii="標楷體" w:eastAsia="標楷體" w:hAnsi="標楷體"/>
          <w:color w:val="000000" w:themeColor="text1"/>
          <w:sz w:val="32"/>
          <w:szCs w:val="32"/>
        </w:rPr>
      </w:pPr>
      <w:r w:rsidRPr="00AA3EBD">
        <w:rPr>
          <w:rFonts w:ascii="標楷體" w:eastAsia="標楷體" w:hAnsi="標楷體"/>
          <w:color w:val="000000" w:themeColor="text1"/>
          <w:sz w:val="32"/>
          <w:szCs w:val="32"/>
        </w:rPr>
        <w:t>政風機構以主管機關政風機構名義</w:t>
      </w:r>
      <w:r w:rsidRPr="00AA3EBD">
        <w:rPr>
          <w:rFonts w:ascii="標楷體" w:eastAsia="標楷體" w:hAnsi="標楷體" w:hint="eastAsia"/>
          <w:color w:val="000000" w:themeColor="text1"/>
          <w:sz w:val="32"/>
          <w:szCs w:val="32"/>
        </w:rPr>
        <w:t>。</w:t>
      </w:r>
    </w:p>
    <w:p w14:paraId="3810D279" w14:textId="3FE2195A" w:rsidR="00AF792E" w:rsidRDefault="005B2E3C" w:rsidP="0056060A">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扣押，由受理揭弊機關執行並保管扣押物；執行完畢應</w:t>
      </w:r>
      <w:r w:rsidR="00A911B5">
        <w:rPr>
          <w:rFonts w:ascii="標楷體" w:eastAsia="標楷體" w:hAnsi="標楷體" w:hint="eastAsia"/>
          <w:color w:val="000000" w:themeColor="text1"/>
          <w:sz w:val="32"/>
          <w:szCs w:val="32"/>
        </w:rPr>
        <w:t>製</w:t>
      </w:r>
      <w:r w:rsidRPr="00883EF2">
        <w:rPr>
          <w:rFonts w:ascii="標楷體" w:eastAsia="標楷體" w:hAnsi="標楷體" w:hint="eastAsia"/>
          <w:color w:val="000000" w:themeColor="text1"/>
          <w:sz w:val="32"/>
          <w:szCs w:val="32"/>
        </w:rPr>
        <w:t>作收據付與所有人、持有人或保管人。</w:t>
      </w:r>
    </w:p>
    <w:p w14:paraId="4C0D2013" w14:textId="77777777" w:rsidR="00AF792E" w:rsidRDefault="005B2E3C" w:rsidP="0056060A">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扣押，應作成紀錄，記載實施之時間、處所、扣押物之名目及其他必要之事項，並由在場之人簽名、蓋章或按指印；其拒絕簽名、蓋章或按指印者，應記明其事由。</w:t>
      </w:r>
    </w:p>
    <w:p w14:paraId="0DE56996" w14:textId="2D8E6D8A" w:rsidR="005B2E3C" w:rsidRPr="00883EF2" w:rsidRDefault="005B2E3C" w:rsidP="0056060A">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本法第七條第二項聲請權之行使，不妨礙受理揭弊機關原有依刑事訴訟法、行政罰法或其他法律所得行使扣押或扣留等權利</w:t>
      </w:r>
      <w:r w:rsidRPr="00883EF2">
        <w:rPr>
          <w:rFonts w:ascii="標楷體" w:eastAsia="標楷體" w:hAnsi="標楷體" w:hint="eastAsia"/>
          <w:color w:val="000000" w:themeColor="text1"/>
          <w:sz w:val="32"/>
          <w:szCs w:val="32"/>
        </w:rPr>
        <w:t>。</w:t>
      </w:r>
    </w:p>
    <w:p w14:paraId="5DC4D428" w14:textId="002DAB4E"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第十一條　　</w:t>
      </w:r>
      <w:r w:rsidRPr="00883EF2">
        <w:rPr>
          <w:rFonts w:ascii="標楷體" w:eastAsia="標楷體" w:hAnsi="標楷體"/>
          <w:color w:val="000000" w:themeColor="text1"/>
          <w:sz w:val="32"/>
          <w:szCs w:val="32"/>
        </w:rPr>
        <w:t>本法第八條第二項</w:t>
      </w:r>
      <w:r w:rsidRPr="00883EF2">
        <w:rPr>
          <w:rFonts w:ascii="標楷體" w:eastAsia="標楷體" w:hAnsi="標楷體" w:hint="eastAsia"/>
          <w:color w:val="000000" w:themeColor="text1"/>
          <w:sz w:val="32"/>
          <w:szCs w:val="32"/>
        </w:rPr>
        <w:t>所定</w:t>
      </w:r>
      <w:r w:rsidRPr="00883EF2">
        <w:rPr>
          <w:rFonts w:ascii="標楷體" w:eastAsia="標楷體" w:hAnsi="標楷體"/>
          <w:color w:val="000000" w:themeColor="text1"/>
          <w:sz w:val="32"/>
          <w:szCs w:val="32"/>
        </w:rPr>
        <w:t>不利措施，不含依公務員懲戒法或法官法所為之懲戒處分，</w:t>
      </w:r>
      <w:r w:rsidRPr="00883EF2">
        <w:rPr>
          <w:rFonts w:ascii="標楷體" w:eastAsia="標楷體" w:hAnsi="標楷體" w:hint="eastAsia"/>
          <w:color w:val="000000" w:themeColor="text1"/>
          <w:sz w:val="32"/>
          <w:szCs w:val="32"/>
        </w:rPr>
        <w:t>或</w:t>
      </w:r>
      <w:r w:rsidRPr="00883EF2">
        <w:rPr>
          <w:rFonts w:ascii="標楷體" w:eastAsia="標楷體" w:hAnsi="標楷體"/>
          <w:color w:val="000000" w:themeColor="text1"/>
          <w:sz w:val="32"/>
          <w:szCs w:val="32"/>
        </w:rPr>
        <w:t>其他依刑事判決所為之行政處分</w:t>
      </w:r>
      <w:r w:rsidRPr="00883EF2">
        <w:rPr>
          <w:rFonts w:ascii="標楷體" w:eastAsia="標楷體" w:hAnsi="標楷體" w:hint="eastAsia"/>
          <w:color w:val="000000" w:themeColor="text1"/>
          <w:sz w:val="32"/>
          <w:szCs w:val="32"/>
        </w:rPr>
        <w:t>。</w:t>
      </w:r>
    </w:p>
    <w:p w14:paraId="630BEB47" w14:textId="3974757C"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本法第八條第二項第三款所稱特殊權利，指</w:t>
      </w:r>
      <w:r w:rsidRPr="00B1073C">
        <w:rPr>
          <w:rFonts w:ascii="標楷體" w:eastAsia="標楷體" w:hAnsi="標楷體"/>
          <w:color w:val="000000" w:themeColor="text1"/>
          <w:sz w:val="32"/>
          <w:szCs w:val="32"/>
        </w:rPr>
        <w:t>揭弊者</w:t>
      </w:r>
      <w:r w:rsidR="00F864F3" w:rsidRPr="00B1073C">
        <w:rPr>
          <w:rFonts w:ascii="標楷體" w:eastAsia="標楷體" w:hAnsi="標楷體" w:hint="eastAsia"/>
          <w:color w:val="000000" w:themeColor="text1"/>
          <w:sz w:val="32"/>
          <w:szCs w:val="32"/>
        </w:rPr>
        <w:t>依</w:t>
      </w:r>
      <w:r w:rsidRPr="00B1073C">
        <w:rPr>
          <w:rFonts w:ascii="標楷體" w:eastAsia="標楷體" w:hAnsi="標楷體"/>
          <w:color w:val="000000" w:themeColor="text1"/>
          <w:sz w:val="32"/>
          <w:szCs w:val="32"/>
        </w:rPr>
        <w:t>現有職位</w:t>
      </w:r>
      <w:r w:rsidR="00F864F3" w:rsidRPr="00B1073C">
        <w:rPr>
          <w:rFonts w:ascii="標楷體" w:eastAsia="標楷體" w:hAnsi="標楷體" w:hint="eastAsia"/>
          <w:color w:val="000000" w:themeColor="text1"/>
          <w:sz w:val="32"/>
          <w:szCs w:val="32"/>
        </w:rPr>
        <w:t>享有</w:t>
      </w:r>
      <w:r w:rsidRPr="00B1073C">
        <w:rPr>
          <w:rFonts w:ascii="標楷體" w:eastAsia="標楷體" w:hAnsi="標楷體"/>
          <w:color w:val="000000" w:themeColor="text1"/>
          <w:sz w:val="32"/>
          <w:szCs w:val="32"/>
        </w:rPr>
        <w:t>之</w:t>
      </w:r>
      <w:r w:rsidRPr="00883EF2">
        <w:rPr>
          <w:rFonts w:ascii="標楷體" w:eastAsia="標楷體" w:hAnsi="標楷體"/>
          <w:color w:val="000000" w:themeColor="text1"/>
          <w:sz w:val="32"/>
          <w:szCs w:val="32"/>
        </w:rPr>
        <w:t>特有權限或禮遇措施</w:t>
      </w:r>
      <w:r w:rsidRPr="00883EF2">
        <w:rPr>
          <w:rFonts w:ascii="標楷體" w:eastAsia="標楷體" w:hAnsi="標楷體" w:hint="eastAsia"/>
          <w:color w:val="000000" w:themeColor="text1"/>
          <w:sz w:val="32"/>
          <w:szCs w:val="32"/>
        </w:rPr>
        <w:t>。</w:t>
      </w:r>
    </w:p>
    <w:p w14:paraId="5B4E0072" w14:textId="6A96E94A"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本法第八條第二項第四款所稱不利變更，指對揭弊者直接或間接損害其依法令、契約或習慣上所應享有之權益或為其他相對不利之差別待遇</w:t>
      </w:r>
      <w:r w:rsidRPr="00883EF2">
        <w:rPr>
          <w:rFonts w:ascii="標楷體" w:eastAsia="標楷體" w:hAnsi="標楷體" w:hint="eastAsia"/>
          <w:color w:val="000000" w:themeColor="text1"/>
          <w:sz w:val="32"/>
          <w:szCs w:val="32"/>
        </w:rPr>
        <w:t>。</w:t>
      </w:r>
    </w:p>
    <w:p w14:paraId="13B6D3AD" w14:textId="35943A5E"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w:t>
      </w:r>
      <w:r w:rsidRPr="00883EF2">
        <w:rPr>
          <w:rFonts w:ascii="標楷體" w:eastAsia="標楷體" w:hAnsi="標楷體" w:hint="eastAsia"/>
          <w:color w:val="000000" w:themeColor="text1"/>
          <w:sz w:val="32"/>
          <w:szCs w:val="32"/>
        </w:rPr>
        <w:t>法第八條第二項第五款所定非依法令規定揭露揭弊者之身分，限於其揭露具有惡意或不當目的，而使揭弊者處於具有敵意或不友善之工作環境之情形。</w:t>
      </w:r>
    </w:p>
    <w:p w14:paraId="62D6D20B" w14:textId="4CE9BE4B"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第十二條　　</w:t>
      </w:r>
      <w:r w:rsidRPr="00883EF2">
        <w:rPr>
          <w:rFonts w:ascii="標楷體" w:eastAsia="標楷體" w:hAnsi="標楷體"/>
          <w:color w:val="000000" w:themeColor="text1"/>
          <w:sz w:val="32"/>
          <w:szCs w:val="32"/>
        </w:rPr>
        <w:t>本法第八條第三項第一款所</w:t>
      </w:r>
      <w:r w:rsidR="00F864F3" w:rsidRPr="00B1073C">
        <w:rPr>
          <w:rFonts w:ascii="標楷體" w:eastAsia="標楷體" w:hAnsi="標楷體" w:hint="eastAsia"/>
          <w:color w:val="000000" w:themeColor="text1"/>
          <w:sz w:val="32"/>
          <w:szCs w:val="32"/>
        </w:rPr>
        <w:t>稱</w:t>
      </w:r>
      <w:r w:rsidRPr="00883EF2">
        <w:rPr>
          <w:rFonts w:ascii="標楷體" w:eastAsia="標楷體" w:hAnsi="標楷體"/>
          <w:color w:val="000000" w:themeColor="text1"/>
          <w:sz w:val="32"/>
          <w:szCs w:val="32"/>
        </w:rPr>
        <w:t>回復至相當之職位及職務，</w:t>
      </w:r>
      <w:r w:rsidRPr="00B1073C">
        <w:rPr>
          <w:rFonts w:ascii="標楷體" w:eastAsia="標楷體" w:hAnsi="標楷體"/>
          <w:color w:val="000000" w:themeColor="text1"/>
          <w:sz w:val="32"/>
          <w:szCs w:val="32"/>
        </w:rPr>
        <w:t>指</w:t>
      </w:r>
      <w:r w:rsidRPr="00883EF2">
        <w:rPr>
          <w:rFonts w:ascii="標楷體" w:eastAsia="標楷體" w:hAnsi="標楷體" w:hint="eastAsia"/>
          <w:color w:val="000000" w:themeColor="text1"/>
          <w:sz w:val="32"/>
          <w:szCs w:val="32"/>
        </w:rPr>
        <w:t>回復至</w:t>
      </w:r>
      <w:r w:rsidRPr="00883EF2">
        <w:rPr>
          <w:rFonts w:ascii="標楷體" w:eastAsia="標楷體" w:hAnsi="標楷體"/>
          <w:color w:val="000000" w:themeColor="text1"/>
          <w:sz w:val="32"/>
          <w:szCs w:val="32"/>
        </w:rPr>
        <w:t>與原職務職等相當且性質相近</w:t>
      </w:r>
      <w:r w:rsidRPr="00883EF2">
        <w:rPr>
          <w:rFonts w:ascii="標楷體" w:eastAsia="標楷體" w:hAnsi="標楷體" w:hint="eastAsia"/>
          <w:color w:val="000000" w:themeColor="text1"/>
          <w:sz w:val="32"/>
          <w:szCs w:val="32"/>
        </w:rPr>
        <w:t>之職位及職務。</w:t>
      </w:r>
    </w:p>
    <w:p w14:paraId="11E6E768" w14:textId="4689C76F"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第十三條　　</w:t>
      </w:r>
      <w:r w:rsidRPr="00883EF2">
        <w:rPr>
          <w:rFonts w:ascii="標楷體" w:eastAsia="標楷體" w:hAnsi="標楷體"/>
          <w:color w:val="000000" w:themeColor="text1"/>
          <w:sz w:val="32"/>
          <w:szCs w:val="32"/>
        </w:rPr>
        <w:t>本法第八條第四項所</w:t>
      </w:r>
      <w:r w:rsidRPr="00883EF2">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律師酬金，以得列為訴訟費用者為限，其數額依訴訟性質適用之法律程序律師酬金支給標準計算</w:t>
      </w:r>
      <w:r w:rsidRPr="00883EF2">
        <w:rPr>
          <w:rFonts w:ascii="標楷體" w:eastAsia="標楷體" w:hAnsi="標楷體" w:hint="eastAsia"/>
          <w:color w:val="000000" w:themeColor="text1"/>
          <w:sz w:val="32"/>
          <w:szCs w:val="32"/>
        </w:rPr>
        <w:t>。</w:t>
      </w:r>
    </w:p>
    <w:p w14:paraId="6E8E473B" w14:textId="717EE3C4"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第十四條　　</w:t>
      </w:r>
      <w:r w:rsidRPr="00883EF2">
        <w:rPr>
          <w:rFonts w:ascii="標楷體" w:eastAsia="標楷體" w:hAnsi="標楷體"/>
          <w:color w:val="000000" w:themeColor="text1"/>
          <w:sz w:val="32"/>
          <w:szCs w:val="32"/>
        </w:rPr>
        <w:t>本法第九條第一項所稱行政救濟，指公務人員保障法之申訴、再申訴、復審、再審議及行政訴訟、教師法之申訴、再申訴、訴願及行政訴訟、軍人權益事件處理法之申訴、再申訴</w:t>
      </w:r>
      <w:r w:rsidRPr="00883EF2">
        <w:rPr>
          <w:rFonts w:ascii="標楷體" w:eastAsia="標楷體" w:hAnsi="標楷體" w:hint="eastAsia"/>
          <w:color w:val="000000" w:themeColor="text1"/>
          <w:sz w:val="32"/>
          <w:szCs w:val="32"/>
        </w:rPr>
        <w:t>、復審</w:t>
      </w:r>
      <w:r w:rsidRPr="00883EF2">
        <w:rPr>
          <w:rFonts w:ascii="標楷體" w:eastAsia="標楷體" w:hAnsi="標楷體"/>
          <w:color w:val="000000" w:themeColor="text1"/>
          <w:sz w:val="32"/>
          <w:szCs w:val="32"/>
        </w:rPr>
        <w:t>及行政訴訟，</w:t>
      </w:r>
      <w:r w:rsidRPr="00B1073C">
        <w:rPr>
          <w:rFonts w:ascii="標楷體" w:eastAsia="標楷體" w:hAnsi="標楷體"/>
          <w:color w:val="000000" w:themeColor="text1"/>
          <w:sz w:val="32"/>
          <w:szCs w:val="32"/>
        </w:rPr>
        <w:t>及</w:t>
      </w:r>
      <w:r w:rsidRPr="00883EF2">
        <w:rPr>
          <w:rFonts w:ascii="標楷體" w:eastAsia="標楷體" w:hAnsi="標楷體"/>
          <w:color w:val="000000" w:themeColor="text1"/>
          <w:sz w:val="32"/>
          <w:szCs w:val="32"/>
        </w:rPr>
        <w:t>其他具有</w:t>
      </w:r>
      <w:r w:rsidR="00F864F3" w:rsidRPr="00B1073C">
        <w:rPr>
          <w:rFonts w:ascii="標楷體" w:eastAsia="標楷體" w:hAnsi="標楷體" w:hint="eastAsia"/>
          <w:color w:val="000000" w:themeColor="text1"/>
          <w:sz w:val="32"/>
          <w:szCs w:val="32"/>
        </w:rPr>
        <w:t>相同</w:t>
      </w:r>
      <w:r w:rsidRPr="00883EF2">
        <w:rPr>
          <w:rFonts w:ascii="標楷體" w:eastAsia="標楷體" w:hAnsi="標楷體"/>
          <w:color w:val="000000" w:themeColor="text1"/>
          <w:sz w:val="32"/>
          <w:szCs w:val="32"/>
        </w:rPr>
        <w:t>救濟性質之程序</w:t>
      </w:r>
      <w:r w:rsidRPr="00883EF2">
        <w:rPr>
          <w:rFonts w:ascii="標楷體" w:eastAsia="標楷體" w:hAnsi="標楷體" w:hint="eastAsia"/>
          <w:color w:val="000000" w:themeColor="text1"/>
          <w:sz w:val="32"/>
          <w:szCs w:val="32"/>
        </w:rPr>
        <w:t>。</w:t>
      </w:r>
    </w:p>
    <w:p w14:paraId="64462416" w14:textId="09A1A7E8"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第十五條　　</w:t>
      </w:r>
      <w:r w:rsidRPr="00883EF2">
        <w:rPr>
          <w:rFonts w:ascii="標楷體" w:eastAsia="標楷體" w:hAnsi="標楷體"/>
          <w:color w:val="000000" w:themeColor="text1"/>
          <w:sz w:val="32"/>
          <w:szCs w:val="32"/>
        </w:rPr>
        <w:t>揭弊者依本法第九條第二項或第十條第四項所為</w:t>
      </w:r>
      <w:r w:rsidR="00F864F3" w:rsidRPr="00B1073C">
        <w:rPr>
          <w:rFonts w:ascii="標楷體" w:eastAsia="標楷體" w:hAnsi="標楷體" w:hint="eastAsia"/>
          <w:color w:val="000000" w:themeColor="text1"/>
          <w:sz w:val="32"/>
          <w:szCs w:val="32"/>
        </w:rPr>
        <w:lastRenderedPageBreak/>
        <w:t>其有</w:t>
      </w:r>
      <w:r w:rsidRPr="00883EF2">
        <w:rPr>
          <w:rFonts w:ascii="標楷體" w:eastAsia="標楷體" w:hAnsi="標楷體"/>
          <w:color w:val="000000" w:themeColor="text1"/>
          <w:sz w:val="32"/>
          <w:szCs w:val="32"/>
        </w:rPr>
        <w:t>本法第八條第一項各款</w:t>
      </w:r>
      <w:r w:rsidR="00F864F3" w:rsidRPr="00B1073C">
        <w:rPr>
          <w:rFonts w:ascii="標楷體" w:eastAsia="標楷體" w:hAnsi="標楷體" w:hint="eastAsia"/>
          <w:color w:val="000000" w:themeColor="text1"/>
          <w:sz w:val="32"/>
          <w:szCs w:val="32"/>
        </w:rPr>
        <w:t>行為之</w:t>
      </w:r>
      <w:r w:rsidRPr="00883EF2">
        <w:rPr>
          <w:rFonts w:ascii="標楷體" w:eastAsia="標楷體" w:hAnsi="標楷體"/>
          <w:color w:val="000000" w:themeColor="text1"/>
          <w:sz w:val="32"/>
          <w:szCs w:val="32"/>
        </w:rPr>
        <w:t>主張，最遲須於行政訴訟或民事訴訟事實審言詞辯論終結前提出之</w:t>
      </w:r>
      <w:r w:rsidRPr="00883EF2">
        <w:rPr>
          <w:rFonts w:ascii="標楷體" w:eastAsia="標楷體" w:hAnsi="標楷體" w:hint="eastAsia"/>
          <w:color w:val="000000" w:themeColor="text1"/>
          <w:sz w:val="32"/>
          <w:szCs w:val="32"/>
        </w:rPr>
        <w:t>。</w:t>
      </w:r>
    </w:p>
    <w:p w14:paraId="71E33B7A" w14:textId="3FF12B86"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前項之主張，法院應於中間判決或終局判決揭示其主張是否成立</w:t>
      </w:r>
      <w:r w:rsidRPr="00883EF2">
        <w:rPr>
          <w:rFonts w:ascii="標楷體" w:eastAsia="標楷體" w:hAnsi="標楷體" w:hint="eastAsia"/>
          <w:color w:val="000000" w:themeColor="text1"/>
          <w:sz w:val="32"/>
          <w:szCs w:val="32"/>
        </w:rPr>
        <w:t>。</w:t>
      </w:r>
    </w:p>
    <w:p w14:paraId="60313291" w14:textId="003DFA67"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第十六條　　</w:t>
      </w:r>
      <w:r w:rsidRPr="00883EF2">
        <w:rPr>
          <w:rFonts w:ascii="標楷體" w:eastAsia="標楷體" w:hAnsi="標楷體"/>
          <w:color w:val="000000" w:themeColor="text1"/>
          <w:sz w:val="32"/>
          <w:szCs w:val="32"/>
        </w:rPr>
        <w:t>本法第十條第七項所</w:t>
      </w:r>
      <w:r w:rsidRPr="00883EF2">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工資，以提供勞務所獲致之報酬計算；</w:t>
      </w:r>
      <w:r w:rsidRPr="00883EF2">
        <w:rPr>
          <w:rFonts w:ascii="標楷體" w:eastAsia="標楷體" w:hAnsi="標楷體" w:hint="eastAsia"/>
          <w:color w:val="000000" w:themeColor="text1"/>
          <w:sz w:val="32"/>
          <w:szCs w:val="32"/>
        </w:rPr>
        <w:t>所</w:t>
      </w:r>
      <w:r w:rsidR="00F864F3" w:rsidRPr="00B1073C">
        <w:rPr>
          <w:rFonts w:ascii="標楷體" w:eastAsia="標楷體" w:hAnsi="標楷體" w:hint="eastAsia"/>
          <w:color w:val="000000" w:themeColor="text1"/>
          <w:sz w:val="32"/>
          <w:szCs w:val="32"/>
        </w:rPr>
        <w:t>稱</w:t>
      </w:r>
      <w:r w:rsidRPr="00883EF2">
        <w:rPr>
          <w:rFonts w:ascii="標楷體" w:eastAsia="標楷體" w:hAnsi="標楷體"/>
          <w:color w:val="000000" w:themeColor="text1"/>
          <w:sz w:val="32"/>
          <w:szCs w:val="32"/>
        </w:rPr>
        <w:t>前一月工資，指揭弊者受不利措施前最近一個月已領或已屆期可領之應收工資</w:t>
      </w:r>
      <w:r w:rsidRPr="00883EF2">
        <w:rPr>
          <w:rFonts w:ascii="標楷體" w:eastAsia="標楷體" w:hAnsi="標楷體" w:hint="eastAsia"/>
          <w:color w:val="000000" w:themeColor="text1"/>
          <w:sz w:val="32"/>
          <w:szCs w:val="32"/>
        </w:rPr>
        <w:t>。</w:t>
      </w:r>
    </w:p>
    <w:p w14:paraId="42E0411F" w14:textId="660BBDAF" w:rsidR="00CF396C" w:rsidRPr="00883EF2" w:rsidRDefault="00CF396C" w:rsidP="00F864F3">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第十七條　　</w:t>
      </w:r>
      <w:r w:rsidRPr="00883EF2">
        <w:rPr>
          <w:rFonts w:ascii="標楷體" w:eastAsia="標楷體" w:hAnsi="標楷體"/>
          <w:color w:val="000000" w:themeColor="text1"/>
          <w:sz w:val="32"/>
          <w:szCs w:val="32"/>
        </w:rPr>
        <w:t>本法第十一條第一項第二款所稱各目的事業主管機關，指不利措施發生時，對違反本法第八條第一項</w:t>
      </w:r>
      <w:r w:rsidR="00F864F3" w:rsidRPr="00B1073C">
        <w:rPr>
          <w:rFonts w:ascii="標楷體" w:eastAsia="標楷體" w:hAnsi="標楷體" w:hint="eastAsia"/>
          <w:color w:val="000000" w:themeColor="text1"/>
          <w:sz w:val="32"/>
          <w:szCs w:val="32"/>
        </w:rPr>
        <w:t>規定</w:t>
      </w:r>
      <w:r w:rsidRPr="00883EF2">
        <w:rPr>
          <w:rFonts w:ascii="標楷體" w:eastAsia="標楷體" w:hAnsi="標楷體"/>
          <w:color w:val="000000" w:themeColor="text1"/>
          <w:sz w:val="32"/>
          <w:szCs w:val="32"/>
        </w:rPr>
        <w:t>之行為人具有監管權限者</w:t>
      </w:r>
      <w:r w:rsidRPr="00883EF2">
        <w:rPr>
          <w:rFonts w:ascii="標楷體" w:eastAsia="標楷體" w:hAnsi="標楷體" w:hint="eastAsia"/>
          <w:color w:val="000000" w:themeColor="text1"/>
          <w:sz w:val="32"/>
          <w:szCs w:val="32"/>
        </w:rPr>
        <w:t>。</w:t>
      </w:r>
    </w:p>
    <w:p w14:paraId="646E1F16" w14:textId="05DB4110"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第十八條　　</w:t>
      </w:r>
      <w:r w:rsidRPr="00883EF2">
        <w:rPr>
          <w:rFonts w:ascii="標楷體" w:eastAsia="標楷體" w:hAnsi="標楷體"/>
          <w:color w:val="000000" w:themeColor="text1"/>
          <w:sz w:val="32"/>
          <w:szCs w:val="32"/>
        </w:rPr>
        <w:t>本法第十二條所稱職業倫理之懲戒責任，指經各類專門職業及技術人員考試及格領有證書之人員，依各該主管機關所定法律</w:t>
      </w:r>
      <w:r w:rsidRPr="00883EF2">
        <w:rPr>
          <w:rFonts w:ascii="標楷體" w:eastAsia="標楷體" w:hAnsi="標楷體" w:hint="eastAsia"/>
          <w:color w:val="000000" w:themeColor="text1"/>
          <w:sz w:val="32"/>
          <w:szCs w:val="32"/>
        </w:rPr>
        <w:t>有關</w:t>
      </w:r>
      <w:r w:rsidRPr="00883EF2">
        <w:rPr>
          <w:rFonts w:ascii="標楷體" w:eastAsia="標楷體" w:hAnsi="標楷體"/>
          <w:color w:val="000000" w:themeColor="text1"/>
          <w:sz w:val="32"/>
          <w:szCs w:val="32"/>
        </w:rPr>
        <w:t>洩密行為</w:t>
      </w:r>
      <w:r w:rsidRPr="00883EF2">
        <w:rPr>
          <w:rFonts w:ascii="標楷體" w:eastAsia="標楷體" w:hAnsi="標楷體" w:hint="eastAsia"/>
          <w:color w:val="000000" w:themeColor="text1"/>
          <w:sz w:val="32"/>
          <w:szCs w:val="32"/>
        </w:rPr>
        <w:t>之懲戒責任。</w:t>
      </w:r>
    </w:p>
    <w:p w14:paraId="0D7B1973" w14:textId="68829496"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第十九條　　</w:t>
      </w:r>
      <w:r w:rsidRPr="00883EF2">
        <w:rPr>
          <w:rFonts w:ascii="標楷體" w:eastAsia="標楷體" w:hAnsi="標楷體"/>
          <w:color w:val="000000" w:themeColor="text1"/>
          <w:sz w:val="32"/>
          <w:szCs w:val="32"/>
        </w:rPr>
        <w:t>本法第十三條第二項</w:t>
      </w:r>
      <w:r w:rsidR="00825AB8" w:rsidRPr="00B1073C">
        <w:rPr>
          <w:rFonts w:ascii="標楷體" w:eastAsia="標楷體" w:hAnsi="標楷體" w:hint="eastAsia"/>
          <w:color w:val="000000" w:themeColor="text1"/>
          <w:sz w:val="32"/>
          <w:szCs w:val="32"/>
        </w:rPr>
        <w:t>所定</w:t>
      </w:r>
      <w:r w:rsidRPr="00883EF2">
        <w:rPr>
          <w:rFonts w:ascii="標楷體" w:eastAsia="標楷體" w:hAnsi="標楷體"/>
          <w:color w:val="000000" w:themeColor="text1"/>
          <w:sz w:val="32"/>
          <w:szCs w:val="32"/>
        </w:rPr>
        <w:t>揭弊者再任公職案件，各機關得依自行遴用非現職人員程序辦理</w:t>
      </w:r>
      <w:r w:rsidRPr="00883EF2">
        <w:rPr>
          <w:rFonts w:ascii="標楷體" w:eastAsia="標楷體" w:hAnsi="標楷體" w:hint="eastAsia"/>
          <w:color w:val="000000" w:themeColor="text1"/>
          <w:sz w:val="32"/>
          <w:szCs w:val="32"/>
        </w:rPr>
        <w:t>。</w:t>
      </w:r>
    </w:p>
    <w:p w14:paraId="35F3F4EB" w14:textId="10749A4A"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第二十條　　被揭弊者行使法定權利而得知揭弊者身分時，應認揭弊者身分對被揭弊者已無保密之必要。</w:t>
      </w:r>
    </w:p>
    <w:p w14:paraId="6B07AA31" w14:textId="2690FA10"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揭弊者如已透過書面、媒體、網路、公開活動或其他方式對外公開或</w:t>
      </w:r>
      <w:r w:rsidR="00825AB8" w:rsidRPr="00B1073C">
        <w:rPr>
          <w:rFonts w:ascii="標楷體" w:eastAsia="標楷體" w:hAnsi="標楷體" w:hint="eastAsia"/>
          <w:color w:val="000000" w:themeColor="text1"/>
          <w:sz w:val="32"/>
          <w:szCs w:val="32"/>
        </w:rPr>
        <w:t>使</w:t>
      </w:r>
      <w:r w:rsidRPr="00883EF2">
        <w:rPr>
          <w:rFonts w:ascii="標楷體" w:eastAsia="標楷體" w:hAnsi="標楷體" w:hint="eastAsia"/>
          <w:color w:val="000000" w:themeColor="text1"/>
          <w:sz w:val="32"/>
          <w:szCs w:val="32"/>
        </w:rPr>
        <w:t>公眾可得而知其身分者，應認揭弊者身分對被揭弊者或他人已無保密之必要。</w:t>
      </w:r>
    </w:p>
    <w:p w14:paraId="1953B880" w14:textId="0B10A86B"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揭弊者依本法第十六條第四項</w:t>
      </w:r>
      <w:r w:rsidR="00825AB8" w:rsidRPr="00B1073C">
        <w:rPr>
          <w:rFonts w:ascii="標楷體" w:eastAsia="標楷體" w:hAnsi="標楷體" w:hint="eastAsia"/>
          <w:color w:val="000000" w:themeColor="text1"/>
          <w:sz w:val="32"/>
          <w:szCs w:val="32"/>
        </w:rPr>
        <w:t>規定</w:t>
      </w:r>
      <w:r w:rsidRPr="00883EF2">
        <w:rPr>
          <w:rFonts w:ascii="標楷體" w:eastAsia="標楷體" w:hAnsi="標楷體" w:hint="eastAsia"/>
          <w:color w:val="000000" w:themeColor="text1"/>
          <w:sz w:val="32"/>
          <w:szCs w:val="32"/>
        </w:rPr>
        <w:t>放棄保密措施者，受理揭弊機關應留存相關文書或電磁紀錄。</w:t>
      </w:r>
    </w:p>
    <w:p w14:paraId="33C654FB" w14:textId="5E3B1042" w:rsidR="00CF396C" w:rsidRPr="00883EF2" w:rsidRDefault="00CF396C"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第二十一條　　</w:t>
      </w:r>
      <w:r w:rsidRPr="00883EF2">
        <w:rPr>
          <w:rFonts w:ascii="標楷體" w:eastAsia="標楷體" w:hAnsi="標楷體"/>
          <w:color w:val="000000" w:themeColor="text1"/>
          <w:sz w:val="32"/>
          <w:szCs w:val="32"/>
        </w:rPr>
        <w:t>本法第十七條第二款但書所稱案件已公開，指揭弊</w:t>
      </w:r>
      <w:r w:rsidRPr="00883EF2">
        <w:rPr>
          <w:rFonts w:ascii="標楷體" w:eastAsia="標楷體" w:hAnsi="標楷體" w:hint="eastAsia"/>
          <w:color w:val="000000" w:themeColor="text1"/>
          <w:sz w:val="32"/>
          <w:szCs w:val="32"/>
        </w:rPr>
        <w:t>案件</w:t>
      </w:r>
      <w:r w:rsidRPr="00883EF2">
        <w:rPr>
          <w:rFonts w:ascii="標楷體" w:eastAsia="標楷體" w:hAnsi="標楷體"/>
          <w:color w:val="000000" w:themeColor="text1"/>
          <w:sz w:val="32"/>
          <w:szCs w:val="32"/>
        </w:rPr>
        <w:t>內容在客觀上處於不特定人或多數人得以見聞、知悉之狀態</w:t>
      </w:r>
      <w:r w:rsidRPr="00883EF2">
        <w:rPr>
          <w:rFonts w:ascii="標楷體" w:eastAsia="標楷體" w:hAnsi="標楷體" w:hint="eastAsia"/>
          <w:color w:val="000000" w:themeColor="text1"/>
          <w:sz w:val="32"/>
          <w:szCs w:val="32"/>
        </w:rPr>
        <w:t>。</w:t>
      </w:r>
    </w:p>
    <w:p w14:paraId="5AB6E811" w14:textId="6CB6EDF5" w:rsidR="00CF396C" w:rsidRPr="00883EF2" w:rsidRDefault="00883EF2" w:rsidP="00883EF2">
      <w:pPr>
        <w:overflowPunct w:val="0"/>
        <w:adjustRightInd w:val="0"/>
        <w:snapToGrid w:val="0"/>
        <w:ind w:leftChars="650" w:left="1560" w:firstLineChars="220" w:firstLine="70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同一檢舉人多次提出檢舉，且無新事實、新證據者，視為同一案件；經予適當處理，並已明確答覆後，而仍一再檢舉者，得不予處理</w:t>
      </w:r>
      <w:r w:rsidR="00CF396C" w:rsidRPr="00883EF2">
        <w:rPr>
          <w:rFonts w:ascii="標楷體" w:eastAsia="標楷體" w:hAnsi="標楷體" w:hint="eastAsia"/>
          <w:color w:val="000000" w:themeColor="text1"/>
          <w:sz w:val="32"/>
          <w:szCs w:val="32"/>
        </w:rPr>
        <w:t>。</w:t>
      </w:r>
    </w:p>
    <w:p w14:paraId="5DFCA30D" w14:textId="65D6E858" w:rsidR="00883EF2" w:rsidRPr="00883EF2" w:rsidRDefault="00883EF2"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第二十二條　　</w:t>
      </w:r>
      <w:r w:rsidRPr="00883EF2">
        <w:rPr>
          <w:rFonts w:ascii="標楷體" w:eastAsia="標楷體" w:hAnsi="標楷體"/>
          <w:color w:val="000000" w:themeColor="text1"/>
          <w:sz w:val="32"/>
          <w:szCs w:val="32"/>
        </w:rPr>
        <w:t>本法第十八條第一項但書所</w:t>
      </w:r>
      <w:r w:rsidRPr="00883EF2">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行使公權力之政府機關（構），</w:t>
      </w:r>
      <w:r w:rsidRPr="00883EF2">
        <w:rPr>
          <w:rFonts w:ascii="標楷體" w:eastAsia="標楷體" w:hAnsi="標楷體" w:hint="eastAsia"/>
          <w:color w:val="000000" w:themeColor="text1"/>
          <w:sz w:val="32"/>
          <w:szCs w:val="32"/>
        </w:rPr>
        <w:t>包含</w:t>
      </w:r>
      <w:r w:rsidRPr="00883EF2">
        <w:rPr>
          <w:rFonts w:ascii="標楷體" w:eastAsia="標楷體" w:hAnsi="標楷體"/>
          <w:color w:val="000000" w:themeColor="text1"/>
          <w:sz w:val="32"/>
          <w:szCs w:val="32"/>
        </w:rPr>
        <w:t>本法第五條第三項至第五項之機關（構）、法人、事業及團體</w:t>
      </w:r>
      <w:r w:rsidRPr="00883EF2">
        <w:rPr>
          <w:rFonts w:ascii="標楷體" w:eastAsia="標楷體" w:hAnsi="標楷體" w:hint="eastAsia"/>
          <w:color w:val="000000" w:themeColor="text1"/>
          <w:sz w:val="32"/>
          <w:szCs w:val="32"/>
        </w:rPr>
        <w:t>。</w:t>
      </w:r>
    </w:p>
    <w:p w14:paraId="6497A37D" w14:textId="09813BE3" w:rsidR="00883EF2" w:rsidRDefault="00883EF2"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第二十三條　　</w:t>
      </w:r>
      <w:r w:rsidRPr="00883EF2">
        <w:rPr>
          <w:rFonts w:ascii="標楷體" w:eastAsia="標楷體" w:hAnsi="標楷體"/>
          <w:color w:val="000000" w:themeColor="text1"/>
          <w:sz w:val="32"/>
          <w:szCs w:val="32"/>
        </w:rPr>
        <w:t>揭弊內容與查獲不法事實間</w:t>
      </w:r>
      <w:r w:rsidRPr="00B1073C">
        <w:rPr>
          <w:rFonts w:ascii="標楷體" w:eastAsia="標楷體" w:hAnsi="標楷體"/>
          <w:color w:val="000000" w:themeColor="text1"/>
          <w:sz w:val="32"/>
          <w:szCs w:val="32"/>
        </w:rPr>
        <w:t>具</w:t>
      </w:r>
      <w:r w:rsidRPr="00883EF2">
        <w:rPr>
          <w:rFonts w:ascii="標楷體" w:eastAsia="標楷體" w:hAnsi="標楷體"/>
          <w:color w:val="000000" w:themeColor="text1"/>
          <w:sz w:val="32"/>
          <w:szCs w:val="32"/>
        </w:rPr>
        <w:t>相當因果關係者，始得依本法第十八條第一項</w:t>
      </w:r>
      <w:r w:rsidRPr="00883EF2">
        <w:rPr>
          <w:rFonts w:ascii="標楷體" w:eastAsia="標楷體" w:hAnsi="標楷體" w:hint="eastAsia"/>
          <w:color w:val="000000" w:themeColor="text1"/>
          <w:sz w:val="32"/>
          <w:szCs w:val="32"/>
        </w:rPr>
        <w:t>本文規定</w:t>
      </w:r>
      <w:r w:rsidRPr="00883EF2">
        <w:rPr>
          <w:rFonts w:ascii="標楷體" w:eastAsia="標楷體" w:hAnsi="標楷體"/>
          <w:color w:val="000000" w:themeColor="text1"/>
          <w:sz w:val="32"/>
          <w:szCs w:val="32"/>
        </w:rPr>
        <w:t>給與獎金</w:t>
      </w:r>
      <w:r w:rsidRPr="00883EF2">
        <w:rPr>
          <w:rFonts w:ascii="標楷體" w:eastAsia="標楷體" w:hAnsi="標楷體" w:hint="eastAsia"/>
          <w:color w:val="000000" w:themeColor="text1"/>
          <w:sz w:val="32"/>
          <w:szCs w:val="32"/>
        </w:rPr>
        <w:t>。</w:t>
      </w:r>
    </w:p>
    <w:p w14:paraId="6F736569" w14:textId="0BC941BB" w:rsidR="00883EF2" w:rsidRPr="00883EF2" w:rsidRDefault="00883EF2" w:rsidP="00883EF2">
      <w:pPr>
        <w:overflowPunct w:val="0"/>
        <w:adjustRightInd w:val="0"/>
        <w:snapToGrid w:val="0"/>
        <w:ind w:left="1699" w:hangingChars="531" w:hanging="1699"/>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lastRenderedPageBreak/>
        <w:t xml:space="preserve">第二十四條　　</w:t>
      </w:r>
      <w:r w:rsidRPr="00883EF2">
        <w:rPr>
          <w:rFonts w:ascii="標楷體" w:eastAsia="標楷體" w:hAnsi="標楷體"/>
          <w:color w:val="000000" w:themeColor="text1"/>
          <w:sz w:val="32"/>
          <w:szCs w:val="32"/>
        </w:rPr>
        <w:t>本法第十八條第二項所</w:t>
      </w:r>
      <w:r w:rsidRPr="00883EF2">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不得主張扣抵之範圍</w:t>
      </w:r>
      <w:r w:rsidR="00825AB8" w:rsidRPr="00B1073C">
        <w:rPr>
          <w:rFonts w:ascii="標楷體" w:eastAsia="標楷體" w:hAnsi="標楷體" w:hint="eastAsia"/>
          <w:color w:val="000000" w:themeColor="text1"/>
          <w:sz w:val="32"/>
          <w:szCs w:val="32"/>
        </w:rPr>
        <w:t>如下</w:t>
      </w:r>
      <w:r w:rsidRPr="00883EF2">
        <w:rPr>
          <w:rFonts w:ascii="標楷體" w:eastAsia="標楷體" w:hAnsi="標楷體"/>
          <w:color w:val="000000" w:themeColor="text1"/>
          <w:sz w:val="32"/>
          <w:szCs w:val="32"/>
        </w:rPr>
        <w:t>：</w:t>
      </w:r>
    </w:p>
    <w:p w14:paraId="433D1739" w14:textId="19B0C0E6" w:rsidR="00CA2C1A" w:rsidRPr="00CA2C1A" w:rsidRDefault="00883EF2" w:rsidP="00CA2C1A">
      <w:pPr>
        <w:pStyle w:val="a7"/>
        <w:numPr>
          <w:ilvl w:val="0"/>
          <w:numId w:val="1"/>
        </w:numPr>
        <w:overflowPunct w:val="0"/>
        <w:adjustRightInd w:val="0"/>
        <w:snapToGrid w:val="0"/>
        <w:ind w:leftChars="0" w:left="2928" w:hanging="649"/>
        <w:jc w:val="both"/>
        <w:rPr>
          <w:rFonts w:ascii="標楷體" w:eastAsia="標楷體" w:hAnsi="標楷體"/>
          <w:color w:val="000000" w:themeColor="text1"/>
          <w:sz w:val="32"/>
          <w:szCs w:val="32"/>
        </w:rPr>
      </w:pPr>
      <w:r w:rsidRPr="00CA2C1A">
        <w:rPr>
          <w:rFonts w:ascii="標楷體" w:eastAsia="標楷體" w:hAnsi="標楷體"/>
          <w:color w:val="000000" w:themeColor="text1"/>
          <w:sz w:val="32"/>
          <w:szCs w:val="32"/>
        </w:rPr>
        <w:t>本法第八條第三項</w:t>
      </w:r>
      <w:r w:rsidRPr="00CA2C1A">
        <w:rPr>
          <w:rFonts w:ascii="標楷體" w:eastAsia="標楷體" w:hAnsi="標楷體" w:hint="eastAsia"/>
          <w:color w:val="000000" w:themeColor="text1"/>
          <w:sz w:val="32"/>
          <w:szCs w:val="32"/>
        </w:rPr>
        <w:t>第三款及第四款規定</w:t>
      </w:r>
      <w:r w:rsidRPr="00CA2C1A">
        <w:rPr>
          <w:rFonts w:ascii="標楷體" w:eastAsia="標楷體" w:hAnsi="標楷體"/>
          <w:color w:val="000000" w:themeColor="text1"/>
          <w:sz w:val="32"/>
          <w:szCs w:val="32"/>
        </w:rPr>
        <w:t>應補發之俸（薪）給、工資及損害賠償</w:t>
      </w:r>
      <w:r w:rsidRPr="00CA2C1A">
        <w:rPr>
          <w:rFonts w:ascii="標楷體" w:eastAsia="標楷體" w:hAnsi="標楷體" w:hint="eastAsia"/>
          <w:color w:val="000000" w:themeColor="text1"/>
          <w:sz w:val="32"/>
          <w:szCs w:val="32"/>
        </w:rPr>
        <w:t>。</w:t>
      </w:r>
    </w:p>
    <w:p w14:paraId="46BD5FBB" w14:textId="4618DF58" w:rsidR="00883EF2" w:rsidRPr="00CA2C1A" w:rsidRDefault="00883EF2" w:rsidP="00CA2C1A">
      <w:pPr>
        <w:pStyle w:val="a7"/>
        <w:numPr>
          <w:ilvl w:val="0"/>
          <w:numId w:val="1"/>
        </w:numPr>
        <w:overflowPunct w:val="0"/>
        <w:adjustRightInd w:val="0"/>
        <w:snapToGrid w:val="0"/>
        <w:ind w:leftChars="0" w:left="2925" w:hanging="646"/>
        <w:jc w:val="both"/>
        <w:rPr>
          <w:rFonts w:ascii="標楷體" w:eastAsia="標楷體" w:hAnsi="標楷體"/>
          <w:color w:val="000000" w:themeColor="text1"/>
          <w:sz w:val="32"/>
          <w:szCs w:val="32"/>
        </w:rPr>
      </w:pPr>
      <w:r w:rsidRPr="00CA2C1A">
        <w:rPr>
          <w:rFonts w:ascii="標楷體" w:eastAsia="標楷體" w:hAnsi="標楷體"/>
          <w:color w:val="000000" w:themeColor="text1"/>
          <w:sz w:val="32"/>
          <w:szCs w:val="32"/>
        </w:rPr>
        <w:t>本法第十條</w:t>
      </w:r>
      <w:r w:rsidRPr="00CA2C1A">
        <w:rPr>
          <w:rFonts w:ascii="標楷體" w:eastAsia="標楷體" w:hAnsi="標楷體" w:hint="eastAsia"/>
          <w:color w:val="000000" w:themeColor="text1"/>
          <w:sz w:val="32"/>
          <w:szCs w:val="32"/>
        </w:rPr>
        <w:t>第二項及第六項規定</w:t>
      </w:r>
      <w:r w:rsidRPr="00CA2C1A">
        <w:rPr>
          <w:rFonts w:ascii="標楷體" w:eastAsia="標楷體" w:hAnsi="標楷體"/>
          <w:color w:val="000000" w:themeColor="text1"/>
          <w:sz w:val="32"/>
          <w:szCs w:val="32"/>
        </w:rPr>
        <w:t>之資遣費、退休金及工資補償金</w:t>
      </w:r>
      <w:r w:rsidRPr="00CA2C1A">
        <w:rPr>
          <w:rFonts w:ascii="標楷體" w:eastAsia="標楷體" w:hAnsi="標楷體" w:hint="eastAsia"/>
          <w:color w:val="000000" w:themeColor="text1"/>
          <w:sz w:val="32"/>
          <w:szCs w:val="32"/>
        </w:rPr>
        <w:t>。</w:t>
      </w:r>
    </w:p>
    <w:p w14:paraId="4AB75203" w14:textId="24D9F9CD" w:rsidR="00883EF2" w:rsidRPr="00883EF2" w:rsidRDefault="00883EF2"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第二十五條　　</w:t>
      </w:r>
      <w:r w:rsidRPr="00883EF2">
        <w:rPr>
          <w:rFonts w:ascii="標楷體" w:eastAsia="標楷體" w:hAnsi="標楷體"/>
          <w:color w:val="000000" w:themeColor="text1"/>
          <w:sz w:val="32"/>
          <w:szCs w:val="32"/>
        </w:rPr>
        <w:t>揭弊者於本法施行前之揭弊行為，依施行前原適用之規定辦理</w:t>
      </w:r>
      <w:r w:rsidRPr="00883EF2">
        <w:rPr>
          <w:rFonts w:ascii="標楷體" w:eastAsia="標楷體" w:hAnsi="標楷體" w:hint="eastAsia"/>
          <w:color w:val="000000" w:themeColor="text1"/>
          <w:sz w:val="32"/>
          <w:szCs w:val="32"/>
        </w:rPr>
        <w:t>。</w:t>
      </w:r>
    </w:p>
    <w:p w14:paraId="75D20C96" w14:textId="3E1A51F1" w:rsidR="00883EF2" w:rsidRPr="00883EF2" w:rsidRDefault="00883EF2"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第二十六條　　本細則自中華民國一百十四年七月二十二日施行。</w:t>
      </w:r>
    </w:p>
    <w:p w14:paraId="6AE34961" w14:textId="4C05D840" w:rsidR="001C657A" w:rsidRPr="00883EF2" w:rsidRDefault="001C657A" w:rsidP="00820428">
      <w:pPr>
        <w:overflowPunct w:val="0"/>
        <w:adjustRightInd w:val="0"/>
        <w:snapToGrid w:val="0"/>
        <w:ind w:left="992" w:hangingChars="310" w:hanging="992"/>
        <w:jc w:val="both"/>
        <w:rPr>
          <w:rFonts w:ascii="標楷體" w:eastAsia="標楷體" w:hAnsi="標楷體"/>
          <w:color w:val="000000" w:themeColor="text1"/>
          <w:sz w:val="32"/>
          <w:szCs w:val="32"/>
        </w:rPr>
      </w:pPr>
    </w:p>
    <w:sectPr w:rsidR="001C657A" w:rsidRPr="00883EF2" w:rsidSect="00820428">
      <w:footerReference w:type="default" r:id="rId8"/>
      <w:pgSz w:w="11906" w:h="16838" w:code="9"/>
      <w:pgMar w:top="1418" w:right="1418" w:bottom="1418" w:left="1701"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CA5FB" w14:textId="77777777" w:rsidR="00735108" w:rsidRDefault="00735108" w:rsidP="00A15B48">
      <w:r>
        <w:separator/>
      </w:r>
    </w:p>
  </w:endnote>
  <w:endnote w:type="continuationSeparator" w:id="0">
    <w:p w14:paraId="7801A103" w14:textId="77777777" w:rsidR="00735108" w:rsidRDefault="00735108" w:rsidP="00A15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325940"/>
      <w:docPartObj>
        <w:docPartGallery w:val="Page Numbers (Bottom of Page)"/>
        <w:docPartUnique/>
      </w:docPartObj>
    </w:sdtPr>
    <w:sdtEndPr/>
    <w:sdtContent>
      <w:p w14:paraId="57AFC19C" w14:textId="77777777" w:rsidR="00A15B48" w:rsidRDefault="00A15B48">
        <w:pPr>
          <w:pStyle w:val="a5"/>
          <w:jc w:val="center"/>
        </w:pPr>
        <w:r>
          <w:fldChar w:fldCharType="begin"/>
        </w:r>
        <w:r>
          <w:instrText>PAGE   \* MERGEFORMAT</w:instrText>
        </w:r>
        <w:r>
          <w:fldChar w:fldCharType="separate"/>
        </w:r>
        <w:r w:rsidR="00F00246" w:rsidRPr="00F00246">
          <w:rPr>
            <w:noProof/>
            <w:lang w:val="zh-TW"/>
          </w:rPr>
          <w:t>1</w:t>
        </w:r>
        <w:r>
          <w:fldChar w:fldCharType="end"/>
        </w:r>
      </w:p>
    </w:sdtContent>
  </w:sdt>
  <w:p w14:paraId="0CA37363" w14:textId="77777777" w:rsidR="00A15B48" w:rsidRDefault="00A15B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97FCE" w14:textId="77777777" w:rsidR="00735108" w:rsidRDefault="00735108" w:rsidP="00A15B48">
      <w:r>
        <w:separator/>
      </w:r>
    </w:p>
  </w:footnote>
  <w:footnote w:type="continuationSeparator" w:id="0">
    <w:p w14:paraId="6D537E42" w14:textId="77777777" w:rsidR="00735108" w:rsidRDefault="00735108" w:rsidP="00A15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4656B"/>
    <w:multiLevelType w:val="hybridMultilevel"/>
    <w:tmpl w:val="E4E49908"/>
    <w:lvl w:ilvl="0" w:tplc="7F508BF6">
      <w:start w:val="1"/>
      <w:numFmt w:val="taiwaneseCountingThousand"/>
      <w:suff w:val="nothing"/>
      <w:lvlText w:val="%1、"/>
      <w:lvlJc w:val="left"/>
      <w:pPr>
        <w:ind w:left="3000" w:hanging="720"/>
      </w:pPr>
      <w:rPr>
        <w:rFonts w:hint="default"/>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1" w15:restartNumberingAfterBreak="0">
    <w:nsid w:val="72F15C3F"/>
    <w:multiLevelType w:val="hybridMultilevel"/>
    <w:tmpl w:val="9314D598"/>
    <w:lvl w:ilvl="0" w:tplc="049061DC">
      <w:start w:val="1"/>
      <w:numFmt w:val="taiwaneseCountingThousand"/>
      <w:suff w:val="nothing"/>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C2"/>
    <w:rsid w:val="0000081A"/>
    <w:rsid w:val="00011E41"/>
    <w:rsid w:val="00031763"/>
    <w:rsid w:val="000B17B0"/>
    <w:rsid w:val="000B600B"/>
    <w:rsid w:val="0010107B"/>
    <w:rsid w:val="0013613A"/>
    <w:rsid w:val="001A1F17"/>
    <w:rsid w:val="001C657A"/>
    <w:rsid w:val="001C7025"/>
    <w:rsid w:val="00234DBD"/>
    <w:rsid w:val="002C6BE9"/>
    <w:rsid w:val="002F2BFA"/>
    <w:rsid w:val="0034688C"/>
    <w:rsid w:val="003710CB"/>
    <w:rsid w:val="004B3445"/>
    <w:rsid w:val="0056060A"/>
    <w:rsid w:val="005A6EE0"/>
    <w:rsid w:val="005B2E3C"/>
    <w:rsid w:val="005D5DE9"/>
    <w:rsid w:val="00603891"/>
    <w:rsid w:val="00620642"/>
    <w:rsid w:val="006771C8"/>
    <w:rsid w:val="007048EC"/>
    <w:rsid w:val="00735108"/>
    <w:rsid w:val="00820428"/>
    <w:rsid w:val="00825AB8"/>
    <w:rsid w:val="008463C4"/>
    <w:rsid w:val="00847B11"/>
    <w:rsid w:val="00883EF2"/>
    <w:rsid w:val="008E26D3"/>
    <w:rsid w:val="00A0749B"/>
    <w:rsid w:val="00A15B48"/>
    <w:rsid w:val="00A62BC2"/>
    <w:rsid w:val="00A67177"/>
    <w:rsid w:val="00A911B5"/>
    <w:rsid w:val="00AA3EBD"/>
    <w:rsid w:val="00AF5D69"/>
    <w:rsid w:val="00AF792E"/>
    <w:rsid w:val="00B1073C"/>
    <w:rsid w:val="00C037CF"/>
    <w:rsid w:val="00C82E86"/>
    <w:rsid w:val="00CA2C1A"/>
    <w:rsid w:val="00CC428F"/>
    <w:rsid w:val="00CF1EF4"/>
    <w:rsid w:val="00CF396C"/>
    <w:rsid w:val="00D477B3"/>
    <w:rsid w:val="00D60CE4"/>
    <w:rsid w:val="00EA0287"/>
    <w:rsid w:val="00F00246"/>
    <w:rsid w:val="00F56FC1"/>
    <w:rsid w:val="00F62DBA"/>
    <w:rsid w:val="00F86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04ADC"/>
  <w15:chartTrackingRefBased/>
  <w15:docId w15:val="{2F1173A4-8CF3-4E71-9B4A-20CD0838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WWWW">
    <w:name w:val="Standard (WW) (WW)"/>
    <w:rsid w:val="00A62BC2"/>
    <w:pPr>
      <w:widowControl w:val="0"/>
      <w:suppressAutoHyphens/>
      <w:autoSpaceDN w:val="0"/>
      <w:snapToGrid w:val="0"/>
      <w:spacing w:before="50" w:line="440" w:lineRule="atLeast"/>
      <w:contextualSpacing/>
      <w:jc w:val="both"/>
      <w:textAlignment w:val="baseline"/>
    </w:pPr>
    <w:rPr>
      <w:rFonts w:ascii="Times New Roman" w:eastAsia="標楷體" w:hAnsi="Times New Roman" w:cs="Times New Roman"/>
      <w:kern w:val="3"/>
      <w:sz w:val="28"/>
      <w:szCs w:val="24"/>
    </w:rPr>
  </w:style>
  <w:style w:type="paragraph" w:styleId="a3">
    <w:name w:val="header"/>
    <w:basedOn w:val="a"/>
    <w:link w:val="a4"/>
    <w:uiPriority w:val="99"/>
    <w:unhideWhenUsed/>
    <w:rsid w:val="00A15B48"/>
    <w:pPr>
      <w:tabs>
        <w:tab w:val="center" w:pos="4153"/>
        <w:tab w:val="right" w:pos="8306"/>
      </w:tabs>
      <w:snapToGrid w:val="0"/>
    </w:pPr>
    <w:rPr>
      <w:sz w:val="20"/>
      <w:szCs w:val="20"/>
    </w:rPr>
  </w:style>
  <w:style w:type="character" w:customStyle="1" w:styleId="a4">
    <w:name w:val="頁首 字元"/>
    <w:basedOn w:val="a0"/>
    <w:link w:val="a3"/>
    <w:uiPriority w:val="99"/>
    <w:rsid w:val="00A15B48"/>
    <w:rPr>
      <w:sz w:val="20"/>
      <w:szCs w:val="20"/>
    </w:rPr>
  </w:style>
  <w:style w:type="paragraph" w:styleId="a5">
    <w:name w:val="footer"/>
    <w:basedOn w:val="a"/>
    <w:link w:val="a6"/>
    <w:uiPriority w:val="99"/>
    <w:unhideWhenUsed/>
    <w:rsid w:val="00A15B48"/>
    <w:pPr>
      <w:tabs>
        <w:tab w:val="center" w:pos="4153"/>
        <w:tab w:val="right" w:pos="8306"/>
      </w:tabs>
      <w:snapToGrid w:val="0"/>
    </w:pPr>
    <w:rPr>
      <w:sz w:val="20"/>
      <w:szCs w:val="20"/>
    </w:rPr>
  </w:style>
  <w:style w:type="character" w:customStyle="1" w:styleId="a6">
    <w:name w:val="頁尾 字元"/>
    <w:basedOn w:val="a0"/>
    <w:link w:val="a5"/>
    <w:uiPriority w:val="99"/>
    <w:rsid w:val="00A15B48"/>
    <w:rPr>
      <w:sz w:val="20"/>
      <w:szCs w:val="20"/>
    </w:rPr>
  </w:style>
  <w:style w:type="paragraph" w:styleId="a7">
    <w:name w:val="List Paragraph"/>
    <w:basedOn w:val="a"/>
    <w:uiPriority w:val="34"/>
    <w:qFormat/>
    <w:rsid w:val="001C657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6D9B3-8908-4423-AF54-4489FAEB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謝秉孝</dc:creator>
  <cp:keywords/>
  <dc:description/>
  <cp:lastModifiedBy>袁芳駿</cp:lastModifiedBy>
  <cp:revision>24</cp:revision>
  <cp:lastPrinted>2026-01-21T07:18:00Z</cp:lastPrinted>
  <dcterms:created xsi:type="dcterms:W3CDTF">2026-02-24T09:33:00Z</dcterms:created>
  <dcterms:modified xsi:type="dcterms:W3CDTF">2026-03-06T07:33:00Z</dcterms:modified>
</cp:coreProperties>
</file>